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91CF" w14:textId="77777777" w:rsidR="00FD4E1B" w:rsidRPr="000B67D9" w:rsidRDefault="00FD4E1B" w:rsidP="00FD4E1B">
      <w:pPr>
        <w:spacing w:after="0" w:line="240" w:lineRule="auto"/>
        <w:jc w:val="right"/>
      </w:pPr>
      <w:r w:rsidRPr="00FD4E1B">
        <w:t xml:space="preserve">    </w:t>
      </w:r>
      <w:r w:rsidRPr="000B67D9">
        <w:t>Fecha:     /              /</w:t>
      </w:r>
    </w:p>
    <w:p w14:paraId="5B20A5F6" w14:textId="5DA603D4" w:rsidR="00FD4E1B" w:rsidRPr="000B67D9" w:rsidRDefault="00FD4E1B" w:rsidP="00FD4E1B">
      <w:pPr>
        <w:spacing w:after="0" w:line="240" w:lineRule="auto"/>
        <w:jc w:val="center"/>
        <w:rPr>
          <w:b/>
        </w:rPr>
      </w:pPr>
      <w:r w:rsidRPr="000B67D9">
        <w:rPr>
          <w:b/>
        </w:rPr>
        <w:t xml:space="preserve">CARTILLA DE INFORMACIÓN CUENTA </w:t>
      </w:r>
      <w:r w:rsidR="00C8637A" w:rsidRPr="000B67D9">
        <w:rPr>
          <w:b/>
        </w:rPr>
        <w:t>INTANGIBLE</w:t>
      </w:r>
      <w:r w:rsidRPr="000B67D9">
        <w:rPr>
          <w:b/>
        </w:rPr>
        <w:t xml:space="preserve"> (S/)</w:t>
      </w:r>
    </w:p>
    <w:p w14:paraId="0E8BC0A3" w14:textId="77777777" w:rsidR="00FD4E1B" w:rsidRPr="000B67D9" w:rsidRDefault="00FD4E1B" w:rsidP="00FD4E1B">
      <w:pPr>
        <w:spacing w:after="0" w:line="240" w:lineRule="auto"/>
        <w:jc w:val="center"/>
        <w:rPr>
          <w:b/>
        </w:rPr>
      </w:pPr>
      <w:r w:rsidRPr="000B67D9">
        <w:rPr>
          <w:b/>
        </w:rPr>
        <w:t>Información Previa de los Costos y Condiciones de Operaciones Pasivas. Ley N° 28587 y modificatorias / Resolución S.B.S. N° 3274-2017</w:t>
      </w:r>
    </w:p>
    <w:tbl>
      <w:tblPr>
        <w:tblW w:w="15120" w:type="dxa"/>
        <w:tblCellMar>
          <w:left w:w="70" w:type="dxa"/>
          <w:right w:w="70" w:type="dxa"/>
        </w:tblCellMar>
        <w:tblLook w:val="04A0" w:firstRow="1" w:lastRow="0" w:firstColumn="1" w:lastColumn="0" w:noHBand="0" w:noVBand="1"/>
      </w:tblPr>
      <w:tblGrid>
        <w:gridCol w:w="8120"/>
        <w:gridCol w:w="7000"/>
      </w:tblGrid>
      <w:tr w:rsidR="00FD4E1B" w:rsidRPr="000B67D9" w14:paraId="0D2E0EBE" w14:textId="77777777" w:rsidTr="00FD4E1B">
        <w:trPr>
          <w:trHeight w:val="333"/>
        </w:trPr>
        <w:tc>
          <w:tcPr>
            <w:tcW w:w="812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269E0C5" w14:textId="77777777"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Conceptos</w:t>
            </w:r>
          </w:p>
        </w:tc>
        <w:tc>
          <w:tcPr>
            <w:tcW w:w="7000" w:type="dxa"/>
            <w:tcBorders>
              <w:top w:val="single" w:sz="8" w:space="0" w:color="auto"/>
              <w:left w:val="nil"/>
              <w:bottom w:val="single" w:sz="8" w:space="0" w:color="auto"/>
              <w:right w:val="single" w:sz="8" w:space="0" w:color="auto"/>
            </w:tcBorders>
            <w:shd w:val="clear" w:color="000000" w:fill="BFBFBF"/>
            <w:vAlign w:val="center"/>
            <w:hideMark/>
          </w:tcPr>
          <w:p w14:paraId="52E097D8" w14:textId="4218E4F4"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Cuenta </w:t>
            </w:r>
            <w:r w:rsidR="00FB3094" w:rsidRPr="000B67D9">
              <w:rPr>
                <w:rFonts w:ascii="Arial Narrow" w:eastAsia="Times New Roman" w:hAnsi="Arial Narrow" w:cs="Calibri"/>
                <w:b/>
                <w:bCs/>
                <w:lang w:eastAsia="es-PE"/>
              </w:rPr>
              <w:t>Intangible</w:t>
            </w:r>
            <w:r w:rsidR="00847717" w:rsidRPr="000B67D9">
              <w:rPr>
                <w:rFonts w:ascii="Arial Narrow" w:eastAsia="Times New Roman" w:hAnsi="Arial Narrow" w:cs="Calibri"/>
                <w:b/>
                <w:bCs/>
                <w:lang w:eastAsia="es-PE"/>
              </w:rPr>
              <w:t xml:space="preserve"> (1)</w:t>
            </w:r>
          </w:p>
        </w:tc>
      </w:tr>
      <w:tr w:rsidR="00FD4E1B" w:rsidRPr="000B67D9" w14:paraId="51C389AF" w14:textId="77777777" w:rsidTr="00FD4E1B">
        <w:trPr>
          <w:trHeight w:val="1762"/>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3AF83743" w14:textId="5123E92E" w:rsidR="00AC08CF" w:rsidRPr="000B67D9" w:rsidRDefault="00FD4E1B" w:rsidP="00FD4E1B">
            <w:pPr>
              <w:spacing w:after="0" w:line="240" w:lineRule="auto"/>
              <w:jc w:val="both"/>
              <w:rPr>
                <w:rFonts w:ascii="Arial Narrow" w:eastAsia="Times New Roman" w:hAnsi="Arial Narrow" w:cs="Calibri"/>
                <w:b/>
                <w:bCs/>
                <w:lang w:eastAsia="es-PE"/>
              </w:rPr>
            </w:pPr>
            <w:r w:rsidRPr="000B67D9">
              <w:rPr>
                <w:rFonts w:ascii="Arial Narrow" w:eastAsia="Times New Roman" w:hAnsi="Arial Narrow" w:cs="Calibri"/>
                <w:b/>
                <w:bCs/>
                <w:lang w:eastAsia="es-PE"/>
              </w:rPr>
              <w:t>Tasa de Rendimiento Efectiva Anual Fija (TREA) (</w:t>
            </w:r>
            <w:r w:rsidR="00847717" w:rsidRPr="000B67D9">
              <w:rPr>
                <w:rFonts w:ascii="Arial Narrow" w:eastAsia="Times New Roman" w:hAnsi="Arial Narrow" w:cs="Calibri"/>
                <w:b/>
                <w:bCs/>
                <w:lang w:eastAsia="es-PE"/>
              </w:rPr>
              <w:t>2</w:t>
            </w:r>
            <w:r w:rsidRPr="000B67D9">
              <w:rPr>
                <w:rFonts w:ascii="Arial Narrow" w:eastAsia="Times New Roman" w:hAnsi="Arial Narrow" w:cs="Calibri"/>
                <w:b/>
                <w:bCs/>
                <w:lang w:eastAsia="es-PE"/>
              </w:rPr>
              <w:t>)</w:t>
            </w:r>
          </w:p>
          <w:p w14:paraId="5F6CCD92" w14:textId="3AFBAABA" w:rsidR="00FD4E1B" w:rsidRPr="000B67D9" w:rsidRDefault="00FD4E1B" w:rsidP="00FD4E1B">
            <w:pPr>
              <w:spacing w:after="0" w:line="240" w:lineRule="auto"/>
              <w:jc w:val="both"/>
              <w:rPr>
                <w:rFonts w:ascii="Arial Narrow" w:eastAsia="Times New Roman" w:hAnsi="Arial Narrow" w:cs="Calibri"/>
                <w:b/>
                <w:bCs/>
                <w:lang w:eastAsia="es-PE"/>
              </w:rPr>
            </w:pPr>
            <w:r w:rsidRPr="000B67D9">
              <w:rPr>
                <w:rFonts w:ascii="Arial Narrow" w:eastAsia="Times New Roman" w:hAnsi="Arial Narrow" w:cs="Calibri"/>
                <w:b/>
                <w:bCs/>
                <w:lang w:eastAsia="es-PE"/>
              </w:rPr>
              <w:t>Tasa Efectiva Anual Fija (TEA)</w:t>
            </w:r>
            <w:r w:rsidR="008A4332" w:rsidRPr="000B67D9">
              <w:rPr>
                <w:rFonts w:ascii="Arial Narrow" w:eastAsia="Times New Roman" w:hAnsi="Arial Narrow" w:cs="Calibri"/>
                <w:b/>
                <w:bCs/>
                <w:lang w:eastAsia="es-PE"/>
              </w:rPr>
              <w:t xml:space="preserve"> (2)</w:t>
            </w:r>
          </w:p>
        </w:tc>
        <w:tc>
          <w:tcPr>
            <w:tcW w:w="7000" w:type="dxa"/>
            <w:tcBorders>
              <w:top w:val="nil"/>
              <w:left w:val="nil"/>
              <w:bottom w:val="single" w:sz="4" w:space="0" w:color="auto"/>
              <w:right w:val="single" w:sz="8" w:space="0" w:color="auto"/>
            </w:tcBorders>
            <w:shd w:val="clear" w:color="auto" w:fill="auto"/>
            <w:vAlign w:val="center"/>
            <w:hideMark/>
          </w:tcPr>
          <w:p w14:paraId="6C1737C6" w14:textId="746ADF14" w:rsidR="00FD4E1B" w:rsidRPr="000B67D9" w:rsidRDefault="00577CCB" w:rsidP="00FD4E1B">
            <w:pPr>
              <w:spacing w:after="0" w:line="240" w:lineRule="auto"/>
              <w:jc w:val="center"/>
              <w:rPr>
                <w:rFonts w:ascii="Arial Narrow" w:eastAsia="Times New Roman" w:hAnsi="Arial Narrow" w:cs="Calibri"/>
                <w:b/>
                <w:bCs/>
                <w:lang w:val="pt-BR" w:eastAsia="es-PE"/>
              </w:rPr>
            </w:pPr>
            <w:r w:rsidRPr="000B67D9">
              <w:rPr>
                <w:rFonts w:ascii="Arial Narrow" w:eastAsia="Times New Roman" w:hAnsi="Arial Narrow" w:cs="Calibri"/>
                <w:b/>
                <w:bCs/>
                <w:lang w:val="pt-BR" w:eastAsia="es-PE"/>
              </w:rPr>
              <w:t>0.00</w:t>
            </w:r>
            <w:r w:rsidR="00FD4E1B" w:rsidRPr="000B67D9">
              <w:rPr>
                <w:rFonts w:ascii="Arial Narrow" w:eastAsia="Times New Roman" w:hAnsi="Arial Narrow" w:cs="Calibri"/>
                <w:b/>
                <w:bCs/>
                <w:lang w:val="pt-BR" w:eastAsia="es-PE"/>
              </w:rPr>
              <w:t>%</w:t>
            </w:r>
          </w:p>
        </w:tc>
      </w:tr>
      <w:tr w:rsidR="00FD4E1B" w:rsidRPr="000B67D9" w14:paraId="6EFDC35B" w14:textId="77777777" w:rsidTr="00FD4E1B">
        <w:trPr>
          <w:trHeight w:val="35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5585E7FF" w14:textId="77777777"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Saldo mínimo de equilibrio</w:t>
            </w:r>
          </w:p>
        </w:tc>
        <w:tc>
          <w:tcPr>
            <w:tcW w:w="7000" w:type="dxa"/>
            <w:tcBorders>
              <w:top w:val="nil"/>
              <w:left w:val="nil"/>
              <w:bottom w:val="single" w:sz="4" w:space="0" w:color="auto"/>
              <w:right w:val="single" w:sz="8" w:space="0" w:color="auto"/>
            </w:tcBorders>
            <w:shd w:val="clear" w:color="auto" w:fill="auto"/>
            <w:noWrap/>
            <w:vAlign w:val="center"/>
            <w:hideMark/>
          </w:tcPr>
          <w:p w14:paraId="0D221149" w14:textId="22F739FF"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S/ 0.0</w:t>
            </w:r>
            <w:r w:rsidR="00CC0D98" w:rsidRPr="000B67D9">
              <w:rPr>
                <w:rFonts w:ascii="Arial Narrow" w:eastAsia="Times New Roman" w:hAnsi="Arial Narrow" w:cs="Calibri"/>
                <w:b/>
                <w:bCs/>
                <w:lang w:eastAsia="es-PE"/>
              </w:rPr>
              <w:t>0</w:t>
            </w:r>
          </w:p>
        </w:tc>
      </w:tr>
      <w:tr w:rsidR="00FD4E1B" w:rsidRPr="000B67D9" w14:paraId="2A5583AE" w14:textId="77777777" w:rsidTr="00FD4E1B">
        <w:trPr>
          <w:trHeight w:val="343"/>
        </w:trPr>
        <w:tc>
          <w:tcPr>
            <w:tcW w:w="8120" w:type="dxa"/>
            <w:tcBorders>
              <w:top w:val="nil"/>
              <w:left w:val="single" w:sz="8" w:space="0" w:color="auto"/>
              <w:bottom w:val="nil"/>
              <w:right w:val="single" w:sz="4" w:space="0" w:color="auto"/>
            </w:tcBorders>
            <w:shd w:val="clear" w:color="auto" w:fill="auto"/>
            <w:vAlign w:val="center"/>
            <w:hideMark/>
          </w:tcPr>
          <w:p w14:paraId="183C6FD9" w14:textId="77777777"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Monto mínimo de apertura</w:t>
            </w:r>
          </w:p>
        </w:tc>
        <w:tc>
          <w:tcPr>
            <w:tcW w:w="7000" w:type="dxa"/>
            <w:tcBorders>
              <w:top w:val="nil"/>
              <w:left w:val="nil"/>
              <w:bottom w:val="nil"/>
              <w:right w:val="single" w:sz="8" w:space="0" w:color="auto"/>
            </w:tcBorders>
            <w:shd w:val="clear" w:color="auto" w:fill="auto"/>
            <w:noWrap/>
            <w:vAlign w:val="center"/>
            <w:hideMark/>
          </w:tcPr>
          <w:p w14:paraId="619B9FFC" w14:textId="36F66EFE"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S/ </w:t>
            </w:r>
            <w:r w:rsidR="003061F6" w:rsidRPr="000B67D9">
              <w:rPr>
                <w:rFonts w:ascii="Arial Narrow" w:eastAsia="Times New Roman" w:hAnsi="Arial Narrow" w:cs="Calibri"/>
                <w:b/>
                <w:bCs/>
                <w:lang w:eastAsia="es-PE"/>
              </w:rPr>
              <w:t>0.00</w:t>
            </w:r>
          </w:p>
        </w:tc>
      </w:tr>
      <w:tr w:rsidR="00FD4E1B" w:rsidRPr="000B67D9" w14:paraId="5770241B" w14:textId="77777777" w:rsidTr="00FD4E1B">
        <w:trPr>
          <w:trHeight w:val="351"/>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DA96ABA" w14:textId="77777777"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Número de Operaciones Libres de Costo</w:t>
            </w:r>
          </w:p>
        </w:tc>
      </w:tr>
      <w:tr w:rsidR="00FD4E1B" w:rsidRPr="000B67D9" w14:paraId="1B9DFD98" w14:textId="77777777" w:rsidTr="00FD4E1B">
        <w:trPr>
          <w:trHeight w:val="315"/>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0426050A" w14:textId="3335150B" w:rsidR="00FD4E1B" w:rsidRPr="000B67D9" w:rsidRDefault="00FD4E1B" w:rsidP="00FD4E1B">
            <w:pPr>
              <w:spacing w:after="0" w:line="240" w:lineRule="auto"/>
              <w:jc w:val="both"/>
              <w:rPr>
                <w:rFonts w:ascii="Arial Narrow" w:eastAsia="Times New Roman" w:hAnsi="Arial Narrow" w:cs="Calibri"/>
                <w:b/>
                <w:bCs/>
                <w:lang w:eastAsia="es-PE"/>
              </w:rPr>
            </w:pPr>
            <w:r w:rsidRPr="000B67D9">
              <w:rPr>
                <w:rFonts w:ascii="Arial Narrow" w:eastAsia="Times New Roman" w:hAnsi="Arial Narrow" w:cs="Calibri"/>
                <w:b/>
                <w:bCs/>
                <w:lang w:eastAsia="es-PE"/>
              </w:rPr>
              <w:t>Retiros y/o abonos por ventanilla (Red de Agencias)</w:t>
            </w:r>
            <w:r w:rsidR="000D179F" w:rsidRPr="000B67D9">
              <w:rPr>
                <w:rFonts w:ascii="Arial Narrow" w:eastAsia="Times New Roman" w:hAnsi="Arial Narrow" w:cs="Calibri"/>
                <w:b/>
                <w:bCs/>
                <w:lang w:eastAsia="es-PE"/>
              </w:rPr>
              <w:t xml:space="preserve"> </w:t>
            </w:r>
          </w:p>
        </w:tc>
        <w:tc>
          <w:tcPr>
            <w:tcW w:w="7000" w:type="dxa"/>
            <w:tcBorders>
              <w:top w:val="nil"/>
              <w:left w:val="nil"/>
              <w:bottom w:val="single" w:sz="4" w:space="0" w:color="auto"/>
              <w:right w:val="single" w:sz="8" w:space="0" w:color="auto"/>
            </w:tcBorders>
            <w:shd w:val="clear" w:color="auto" w:fill="auto"/>
            <w:vAlign w:val="center"/>
            <w:hideMark/>
          </w:tcPr>
          <w:p w14:paraId="419C1352" w14:textId="196A81EB" w:rsidR="00FD4E1B" w:rsidRPr="000B67D9" w:rsidRDefault="004E2D99"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Ilimitado</w:t>
            </w:r>
          </w:p>
        </w:tc>
      </w:tr>
      <w:tr w:rsidR="00FD4E1B" w:rsidRPr="000B67D9" w14:paraId="6965B576" w14:textId="77777777" w:rsidTr="00FD4E1B">
        <w:trPr>
          <w:trHeight w:val="323"/>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17166AAA" w14:textId="7BD93AA2" w:rsidR="00FD4E1B" w:rsidRPr="000B67D9" w:rsidRDefault="00FD4E1B" w:rsidP="00FD4E1B">
            <w:pPr>
              <w:spacing w:after="0" w:line="240" w:lineRule="auto"/>
              <w:jc w:val="both"/>
              <w:rPr>
                <w:rFonts w:ascii="Arial Narrow" w:eastAsia="Times New Roman" w:hAnsi="Arial Narrow" w:cs="Calibri"/>
                <w:b/>
                <w:bCs/>
                <w:lang w:eastAsia="es-PE"/>
              </w:rPr>
            </w:pPr>
            <w:r w:rsidRPr="000B67D9">
              <w:rPr>
                <w:rFonts w:ascii="Arial Narrow" w:eastAsia="Times New Roman" w:hAnsi="Arial Narrow" w:cs="Calibri"/>
                <w:b/>
                <w:bCs/>
                <w:lang w:eastAsia="es-PE"/>
              </w:rPr>
              <w:t>Retiros en la Red de Cajeros Automáticos (Scotiabank)</w:t>
            </w:r>
            <w:r w:rsidR="00145BEF" w:rsidRPr="000B67D9">
              <w:rPr>
                <w:rFonts w:ascii="Arial Narrow" w:eastAsia="Times New Roman" w:hAnsi="Arial Narrow" w:cs="Calibri"/>
                <w:b/>
                <w:bCs/>
                <w:lang w:eastAsia="es-PE"/>
              </w:rPr>
              <w:t xml:space="preserve"> </w:t>
            </w:r>
          </w:p>
        </w:tc>
        <w:tc>
          <w:tcPr>
            <w:tcW w:w="7000" w:type="dxa"/>
            <w:tcBorders>
              <w:top w:val="nil"/>
              <w:left w:val="nil"/>
              <w:bottom w:val="single" w:sz="8" w:space="0" w:color="auto"/>
              <w:right w:val="single" w:sz="8" w:space="0" w:color="auto"/>
            </w:tcBorders>
            <w:shd w:val="clear" w:color="auto" w:fill="auto"/>
            <w:vAlign w:val="center"/>
            <w:hideMark/>
          </w:tcPr>
          <w:p w14:paraId="5206C94F" w14:textId="77777777"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Ilimitado</w:t>
            </w:r>
          </w:p>
        </w:tc>
      </w:tr>
      <w:tr w:rsidR="00FD4E1B" w:rsidRPr="000B67D9" w14:paraId="63668E55" w14:textId="77777777" w:rsidTr="00FD4E1B">
        <w:trPr>
          <w:trHeight w:val="268"/>
        </w:trPr>
        <w:tc>
          <w:tcPr>
            <w:tcW w:w="1512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DEF60EE" w14:textId="77777777"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COMISIONES</w:t>
            </w:r>
          </w:p>
        </w:tc>
      </w:tr>
      <w:tr w:rsidR="00FD4E1B" w:rsidRPr="000B67D9" w14:paraId="780732FD" w14:textId="77777777" w:rsidTr="00FD4E1B">
        <w:trPr>
          <w:trHeight w:val="325"/>
        </w:trPr>
        <w:tc>
          <w:tcPr>
            <w:tcW w:w="15120"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706F4717" w14:textId="77777777"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CATEGORÍA: Operaciones en Cuenta</w:t>
            </w:r>
          </w:p>
        </w:tc>
      </w:tr>
      <w:tr w:rsidR="00FD4E1B" w:rsidRPr="000B67D9" w14:paraId="67E4E262" w14:textId="77777777" w:rsidTr="00FD4E1B">
        <w:trPr>
          <w:trHeight w:val="300"/>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73C1B01" w14:textId="77777777"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DENOMINACIÓN: Operaciones en otra localidad</w:t>
            </w:r>
          </w:p>
        </w:tc>
      </w:tr>
      <w:tr w:rsidR="00FD4E1B" w:rsidRPr="000B67D9" w14:paraId="23B21B87" w14:textId="77777777" w:rsidTr="00FD4E1B">
        <w:trPr>
          <w:trHeight w:val="755"/>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52CDAE74" w14:textId="6325642C"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Depósito </w:t>
            </w:r>
            <w:proofErr w:type="spellStart"/>
            <w:r w:rsidRPr="000B67D9">
              <w:rPr>
                <w:rFonts w:ascii="Arial Narrow" w:eastAsia="Times New Roman" w:hAnsi="Arial Narrow" w:cs="Calibri"/>
                <w:b/>
                <w:bCs/>
                <w:lang w:eastAsia="es-PE"/>
              </w:rPr>
              <w:t>Interplaza</w:t>
            </w:r>
            <w:proofErr w:type="spellEnd"/>
            <w:r w:rsidRPr="000B67D9">
              <w:rPr>
                <w:rFonts w:ascii="Arial Narrow" w:eastAsia="Times New Roman" w:hAnsi="Arial Narrow" w:cs="Calibri"/>
                <w:b/>
                <w:bCs/>
                <w:lang w:eastAsia="es-PE"/>
              </w:rPr>
              <w:t xml:space="preserve"> (</w:t>
            </w:r>
            <w:r w:rsidR="00801022" w:rsidRPr="000B67D9">
              <w:rPr>
                <w:rFonts w:ascii="Arial Narrow" w:eastAsia="Times New Roman" w:hAnsi="Arial Narrow" w:cs="Calibri"/>
                <w:b/>
                <w:bCs/>
                <w:lang w:eastAsia="es-PE"/>
              </w:rPr>
              <w:t>3</w:t>
            </w:r>
            <w:r w:rsidRPr="000B67D9">
              <w:rPr>
                <w:rFonts w:ascii="Arial Narrow" w:eastAsia="Times New Roman" w:hAnsi="Arial Narrow" w:cs="Calibri"/>
                <w:b/>
                <w:bCs/>
                <w:lang w:eastAsia="es-PE"/>
              </w:rPr>
              <w:t>)</w:t>
            </w:r>
          </w:p>
        </w:tc>
        <w:tc>
          <w:tcPr>
            <w:tcW w:w="7000" w:type="dxa"/>
            <w:tcBorders>
              <w:top w:val="nil"/>
              <w:left w:val="nil"/>
              <w:bottom w:val="single" w:sz="4" w:space="0" w:color="auto"/>
              <w:right w:val="single" w:sz="8" w:space="0" w:color="auto"/>
            </w:tcBorders>
            <w:shd w:val="clear" w:color="auto" w:fill="auto"/>
            <w:vAlign w:val="center"/>
            <w:hideMark/>
          </w:tcPr>
          <w:p w14:paraId="37AA84B6" w14:textId="27773B87" w:rsidR="00FD4E1B" w:rsidRPr="000B67D9" w:rsidRDefault="00E67A18"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No aplica</w:t>
            </w:r>
            <w:r w:rsidR="00FD4E1B" w:rsidRPr="000B67D9">
              <w:rPr>
                <w:rFonts w:ascii="Arial Narrow" w:eastAsia="Times New Roman" w:hAnsi="Arial Narrow" w:cs="Calibri"/>
                <w:b/>
                <w:bCs/>
                <w:lang w:eastAsia="es-PE"/>
              </w:rPr>
              <w:t xml:space="preserve">  </w:t>
            </w:r>
          </w:p>
        </w:tc>
      </w:tr>
      <w:tr w:rsidR="00FD4E1B" w:rsidRPr="000B67D9" w14:paraId="6449ABDD" w14:textId="77777777" w:rsidTr="00FD4E1B">
        <w:trPr>
          <w:trHeight w:val="782"/>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02D6C29E" w14:textId="685965F6"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Retiro </w:t>
            </w:r>
            <w:proofErr w:type="spellStart"/>
            <w:r w:rsidRPr="000B67D9">
              <w:rPr>
                <w:rFonts w:ascii="Arial Narrow" w:eastAsia="Times New Roman" w:hAnsi="Arial Narrow" w:cs="Calibri"/>
                <w:b/>
                <w:bCs/>
                <w:lang w:eastAsia="es-PE"/>
              </w:rPr>
              <w:t>Interplaza</w:t>
            </w:r>
            <w:proofErr w:type="spellEnd"/>
            <w:r w:rsidRPr="000B67D9">
              <w:rPr>
                <w:rFonts w:ascii="Arial Narrow" w:eastAsia="Times New Roman" w:hAnsi="Arial Narrow" w:cs="Calibri"/>
                <w:b/>
                <w:bCs/>
                <w:lang w:eastAsia="es-PE"/>
              </w:rPr>
              <w:t xml:space="preserve"> (</w:t>
            </w:r>
            <w:r w:rsidR="00801022" w:rsidRPr="000B67D9">
              <w:rPr>
                <w:rFonts w:ascii="Arial Narrow" w:eastAsia="Times New Roman" w:hAnsi="Arial Narrow" w:cs="Calibri"/>
                <w:b/>
                <w:bCs/>
                <w:lang w:eastAsia="es-PE"/>
              </w:rPr>
              <w:t>3</w:t>
            </w:r>
            <w:r w:rsidRPr="000B67D9">
              <w:rPr>
                <w:rFonts w:ascii="Arial Narrow" w:eastAsia="Times New Roman" w:hAnsi="Arial Narrow" w:cs="Calibri"/>
                <w:b/>
                <w:bCs/>
                <w:lang w:eastAsia="es-PE"/>
              </w:rPr>
              <w:t>)</w:t>
            </w:r>
          </w:p>
        </w:tc>
        <w:tc>
          <w:tcPr>
            <w:tcW w:w="7000" w:type="dxa"/>
            <w:tcBorders>
              <w:top w:val="nil"/>
              <w:left w:val="nil"/>
              <w:bottom w:val="single" w:sz="8" w:space="0" w:color="auto"/>
              <w:right w:val="single" w:sz="8" w:space="0" w:color="auto"/>
            </w:tcBorders>
            <w:shd w:val="clear" w:color="auto" w:fill="auto"/>
            <w:vAlign w:val="center"/>
            <w:hideMark/>
          </w:tcPr>
          <w:p w14:paraId="03F4E033" w14:textId="26DFDAE0" w:rsidR="00FD4E1B" w:rsidRPr="000B67D9" w:rsidRDefault="00E67A18"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Sin costo</w:t>
            </w:r>
            <w:r w:rsidR="00FD4E1B" w:rsidRPr="000B67D9">
              <w:rPr>
                <w:rFonts w:ascii="Arial Narrow" w:eastAsia="Times New Roman" w:hAnsi="Arial Narrow" w:cs="Calibri"/>
                <w:b/>
                <w:bCs/>
                <w:lang w:eastAsia="es-PE"/>
              </w:rPr>
              <w:t xml:space="preserve">  </w:t>
            </w:r>
          </w:p>
        </w:tc>
      </w:tr>
      <w:tr w:rsidR="00FD4E1B" w:rsidRPr="000B67D9" w14:paraId="0930DCA9" w14:textId="77777777" w:rsidTr="00FD4E1B">
        <w:trPr>
          <w:trHeight w:val="268"/>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9533BFA" w14:textId="77777777"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CATEGORÍA: Uso de Canales</w:t>
            </w:r>
          </w:p>
        </w:tc>
      </w:tr>
      <w:tr w:rsidR="00FD4E1B" w:rsidRPr="000B67D9" w14:paraId="0B29A0FF" w14:textId="77777777" w:rsidTr="00FD4E1B">
        <w:trPr>
          <w:trHeight w:val="268"/>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28DF62B" w14:textId="77777777"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DENOMINACIÓN: Operación en Ventanilla</w:t>
            </w:r>
          </w:p>
        </w:tc>
      </w:tr>
      <w:tr w:rsidR="00FD4E1B" w:rsidRPr="000B67D9" w14:paraId="59F453FE" w14:textId="77777777" w:rsidTr="00FD4E1B">
        <w:trPr>
          <w:trHeight w:val="36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57121427" w14:textId="77777777"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Consulta de Saldos</w:t>
            </w:r>
          </w:p>
        </w:tc>
        <w:tc>
          <w:tcPr>
            <w:tcW w:w="7000" w:type="dxa"/>
            <w:tcBorders>
              <w:top w:val="nil"/>
              <w:left w:val="nil"/>
              <w:bottom w:val="single" w:sz="4" w:space="0" w:color="auto"/>
              <w:right w:val="single" w:sz="8" w:space="0" w:color="auto"/>
            </w:tcBorders>
            <w:shd w:val="clear" w:color="auto" w:fill="auto"/>
            <w:noWrap/>
            <w:vAlign w:val="center"/>
            <w:hideMark/>
          </w:tcPr>
          <w:p w14:paraId="6B9BFAE0" w14:textId="10D6E0F3" w:rsidR="00FD4E1B" w:rsidRPr="000B67D9" w:rsidRDefault="00593936"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No aplica</w:t>
            </w:r>
          </w:p>
        </w:tc>
      </w:tr>
      <w:tr w:rsidR="00FD4E1B" w:rsidRPr="000B67D9" w14:paraId="49000D35" w14:textId="77777777" w:rsidTr="00FD4E1B">
        <w:trPr>
          <w:trHeight w:val="36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0D47116A" w14:textId="3D8CD83A"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Consulta de Movimientos</w:t>
            </w:r>
            <w:r w:rsidR="00873E2F" w:rsidRPr="000B67D9">
              <w:rPr>
                <w:rFonts w:ascii="Arial Narrow" w:eastAsia="Times New Roman" w:hAnsi="Arial Narrow" w:cs="Calibri"/>
                <w:b/>
                <w:bCs/>
                <w:lang w:eastAsia="es-PE"/>
              </w:rPr>
              <w:t xml:space="preserve"> </w:t>
            </w:r>
          </w:p>
        </w:tc>
        <w:tc>
          <w:tcPr>
            <w:tcW w:w="7000" w:type="dxa"/>
            <w:tcBorders>
              <w:top w:val="nil"/>
              <w:left w:val="nil"/>
              <w:bottom w:val="single" w:sz="4" w:space="0" w:color="auto"/>
              <w:right w:val="single" w:sz="8" w:space="0" w:color="auto"/>
            </w:tcBorders>
            <w:shd w:val="clear" w:color="auto" w:fill="auto"/>
            <w:noWrap/>
            <w:vAlign w:val="center"/>
            <w:hideMark/>
          </w:tcPr>
          <w:p w14:paraId="7A73D6B0" w14:textId="21AE543A" w:rsidR="00FD4E1B" w:rsidRPr="000B67D9" w:rsidRDefault="00593936"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No aplica</w:t>
            </w:r>
          </w:p>
        </w:tc>
      </w:tr>
      <w:tr w:rsidR="00FD4E1B" w:rsidRPr="000B67D9" w14:paraId="674D8E5E" w14:textId="77777777" w:rsidTr="00FD4E1B">
        <w:trPr>
          <w:trHeight w:val="360"/>
        </w:trPr>
        <w:tc>
          <w:tcPr>
            <w:tcW w:w="8120" w:type="dxa"/>
            <w:tcBorders>
              <w:top w:val="nil"/>
              <w:left w:val="single" w:sz="8" w:space="0" w:color="auto"/>
              <w:bottom w:val="single" w:sz="4" w:space="0" w:color="auto"/>
              <w:right w:val="single" w:sz="4" w:space="0" w:color="auto"/>
            </w:tcBorders>
            <w:shd w:val="clear" w:color="auto" w:fill="auto"/>
            <w:noWrap/>
            <w:vAlign w:val="center"/>
            <w:hideMark/>
          </w:tcPr>
          <w:p w14:paraId="22077A0E" w14:textId="77777777"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Exceso de operaciones libres en ventanilla (Retiros y/o Abonos)</w:t>
            </w:r>
          </w:p>
        </w:tc>
        <w:tc>
          <w:tcPr>
            <w:tcW w:w="7000" w:type="dxa"/>
            <w:tcBorders>
              <w:top w:val="nil"/>
              <w:left w:val="nil"/>
              <w:bottom w:val="single" w:sz="4" w:space="0" w:color="auto"/>
              <w:right w:val="single" w:sz="8" w:space="0" w:color="auto"/>
            </w:tcBorders>
            <w:shd w:val="clear" w:color="auto" w:fill="auto"/>
            <w:noWrap/>
            <w:vAlign w:val="center"/>
            <w:hideMark/>
          </w:tcPr>
          <w:p w14:paraId="13E22FB9" w14:textId="3A063AC3" w:rsidR="00FD4E1B" w:rsidRPr="000B67D9" w:rsidRDefault="005B4821"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Sin costo</w:t>
            </w:r>
          </w:p>
        </w:tc>
      </w:tr>
      <w:tr w:rsidR="00FD4E1B" w:rsidRPr="000B67D9" w14:paraId="5E1BD9C2" w14:textId="77777777" w:rsidTr="00FD4E1B">
        <w:trPr>
          <w:trHeight w:val="360"/>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255B94E6" w14:textId="29FABDCB"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Proceso de Carta de Instrucción (</w:t>
            </w:r>
            <w:r w:rsidR="00801022" w:rsidRPr="000B67D9">
              <w:rPr>
                <w:rFonts w:ascii="Arial Narrow" w:eastAsia="Times New Roman" w:hAnsi="Arial Narrow" w:cs="Calibri"/>
                <w:b/>
                <w:bCs/>
                <w:lang w:eastAsia="es-PE"/>
              </w:rPr>
              <w:t>4</w:t>
            </w:r>
            <w:r w:rsidRPr="000B67D9">
              <w:rPr>
                <w:rFonts w:ascii="Arial Narrow" w:eastAsia="Times New Roman" w:hAnsi="Arial Narrow" w:cs="Calibri"/>
                <w:b/>
                <w:bCs/>
                <w:lang w:eastAsia="es-PE"/>
              </w:rPr>
              <w:t>)</w:t>
            </w:r>
          </w:p>
        </w:tc>
        <w:tc>
          <w:tcPr>
            <w:tcW w:w="7000" w:type="dxa"/>
            <w:tcBorders>
              <w:top w:val="nil"/>
              <w:left w:val="nil"/>
              <w:bottom w:val="single" w:sz="8" w:space="0" w:color="auto"/>
              <w:right w:val="single" w:sz="8" w:space="0" w:color="auto"/>
            </w:tcBorders>
            <w:shd w:val="clear" w:color="auto" w:fill="auto"/>
            <w:noWrap/>
            <w:vAlign w:val="center"/>
            <w:hideMark/>
          </w:tcPr>
          <w:p w14:paraId="456C12D9" w14:textId="7A5C1126" w:rsidR="00FD4E1B" w:rsidRPr="000B67D9" w:rsidRDefault="007C3B7D"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Sin costo</w:t>
            </w:r>
          </w:p>
        </w:tc>
      </w:tr>
      <w:tr w:rsidR="00FD4E1B" w:rsidRPr="000B67D9" w14:paraId="101CE7AF" w14:textId="77777777" w:rsidTr="00FD4E1B">
        <w:trPr>
          <w:trHeight w:val="295"/>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D7DD9E4" w14:textId="18CC66BD" w:rsidR="00FD4E1B" w:rsidRPr="000B67D9" w:rsidRDefault="00FD4E1B"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CATEGORÍA: Tarjeta de Débito adicionales a solicitud (</w:t>
            </w:r>
            <w:r w:rsidR="00117671" w:rsidRPr="000B67D9">
              <w:rPr>
                <w:rFonts w:ascii="Arial Narrow" w:eastAsia="Times New Roman" w:hAnsi="Arial Narrow" w:cs="Calibri"/>
                <w:b/>
                <w:bCs/>
                <w:lang w:eastAsia="es-PE"/>
              </w:rPr>
              <w:t>5</w:t>
            </w:r>
            <w:r w:rsidR="004E3B7F" w:rsidRPr="000B67D9">
              <w:rPr>
                <w:rFonts w:ascii="Arial Narrow" w:eastAsia="Times New Roman" w:hAnsi="Arial Narrow" w:cs="Calibri"/>
                <w:b/>
                <w:bCs/>
                <w:lang w:eastAsia="es-PE"/>
              </w:rPr>
              <w:t>)</w:t>
            </w:r>
          </w:p>
        </w:tc>
      </w:tr>
      <w:tr w:rsidR="00FD4E1B" w:rsidRPr="000B67D9" w14:paraId="1438CC6F" w14:textId="77777777" w:rsidTr="00FD4E1B">
        <w:trPr>
          <w:trHeight w:val="360"/>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FF0CEC2" w14:textId="77777777"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DENOMINACIÓN: Reposición de Tarjeta </w:t>
            </w:r>
          </w:p>
        </w:tc>
      </w:tr>
      <w:tr w:rsidR="00FD4E1B" w:rsidRPr="000B67D9" w14:paraId="45199A8E" w14:textId="77777777" w:rsidTr="00910DB4">
        <w:trPr>
          <w:trHeight w:val="360"/>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62077DA3" w14:textId="0AB8681B" w:rsidR="00FD4E1B" w:rsidRPr="000B67D9" w:rsidRDefault="00FD4E1B" w:rsidP="00FD4E1B">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Duplicado de Tarjeta de Débito (</w:t>
            </w:r>
            <w:r w:rsidR="00117671" w:rsidRPr="000B67D9">
              <w:rPr>
                <w:rFonts w:ascii="Arial Narrow" w:eastAsia="Times New Roman" w:hAnsi="Arial Narrow" w:cs="Calibri"/>
                <w:b/>
                <w:bCs/>
                <w:lang w:eastAsia="es-PE"/>
              </w:rPr>
              <w:t>6</w:t>
            </w:r>
            <w:r w:rsidRPr="000B67D9">
              <w:rPr>
                <w:rFonts w:ascii="Arial Narrow" w:eastAsia="Times New Roman" w:hAnsi="Arial Narrow" w:cs="Calibri"/>
                <w:b/>
                <w:bCs/>
                <w:lang w:eastAsia="es-PE"/>
              </w:rPr>
              <w:t>)</w:t>
            </w:r>
          </w:p>
        </w:tc>
        <w:tc>
          <w:tcPr>
            <w:tcW w:w="7000" w:type="dxa"/>
            <w:tcBorders>
              <w:top w:val="nil"/>
              <w:left w:val="nil"/>
              <w:bottom w:val="single" w:sz="8" w:space="0" w:color="auto"/>
              <w:right w:val="single" w:sz="8" w:space="0" w:color="auto"/>
            </w:tcBorders>
            <w:shd w:val="clear" w:color="auto" w:fill="auto"/>
            <w:noWrap/>
            <w:vAlign w:val="center"/>
            <w:hideMark/>
          </w:tcPr>
          <w:p w14:paraId="546BC2B6" w14:textId="2B23E739" w:rsidR="00FD4E1B" w:rsidRPr="000B67D9" w:rsidRDefault="00B25BDF" w:rsidP="00FD4E1B">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S/ </w:t>
            </w:r>
            <w:r w:rsidR="00B62F47" w:rsidRPr="000B67D9">
              <w:rPr>
                <w:rFonts w:ascii="Arial Narrow" w:eastAsia="Times New Roman" w:hAnsi="Arial Narrow" w:cs="Calibri"/>
                <w:b/>
                <w:bCs/>
                <w:lang w:eastAsia="es-PE"/>
              </w:rPr>
              <w:t>20</w:t>
            </w:r>
            <w:r w:rsidR="00FD4E1B" w:rsidRPr="000B67D9">
              <w:rPr>
                <w:rFonts w:ascii="Arial Narrow" w:eastAsia="Times New Roman" w:hAnsi="Arial Narrow" w:cs="Calibri"/>
                <w:b/>
                <w:bCs/>
                <w:lang w:eastAsia="es-PE"/>
              </w:rPr>
              <w:t xml:space="preserve">.00 </w:t>
            </w:r>
          </w:p>
        </w:tc>
      </w:tr>
    </w:tbl>
    <w:p w14:paraId="77AB8A7E" w14:textId="07453F44" w:rsidR="00BB3B7A" w:rsidRPr="000B67D9" w:rsidRDefault="00BB3B7A" w:rsidP="00BB3B7A">
      <w:pPr>
        <w:pStyle w:val="ListParagraph"/>
        <w:tabs>
          <w:tab w:val="left" w:pos="270"/>
        </w:tabs>
        <w:spacing w:after="0" w:line="240" w:lineRule="auto"/>
        <w:ind w:left="0"/>
        <w:jc w:val="both"/>
        <w:rPr>
          <w:rFonts w:ascii="Arial Narrow" w:hAnsi="Arial Narrow"/>
          <w:color w:val="000000" w:themeColor="text1"/>
        </w:rPr>
      </w:pPr>
      <w:r w:rsidRPr="000B67D9">
        <w:rPr>
          <w:rFonts w:ascii="Arial Narrow" w:hAnsi="Arial Narrow"/>
        </w:rPr>
        <w:lastRenderedPageBreak/>
        <w:t xml:space="preserve">(1) Cuenta Intangible, constituida en virtud del Decreto de Urgencia 056 -2020, solo podrá ser utilizada para disponer de los fondos liberados por AFP y abonos del gobierno. Sobre esta cuenta NO aplican cobros automáticos de deudas, ni aplica ITF. El cliente podrá disponer de su dinero a través de transferencias entre cuentas por Crediscotia en línea www.crediscotia.com.pe . Asimismo, podrá retirar por cajeros </w:t>
      </w:r>
      <w:r w:rsidRPr="000B67D9">
        <w:rPr>
          <w:rFonts w:ascii="Arial Narrow" w:hAnsi="Arial Narrow"/>
          <w:color w:val="000000" w:themeColor="text1"/>
        </w:rPr>
        <w:t xml:space="preserve">automáticos de la red Scotiabank, agencias Scotiabank y </w:t>
      </w:r>
      <w:proofErr w:type="spellStart"/>
      <w:r w:rsidRPr="000B67D9">
        <w:rPr>
          <w:rFonts w:ascii="Arial Narrow" w:hAnsi="Arial Narrow"/>
          <w:color w:val="000000" w:themeColor="text1"/>
        </w:rPr>
        <w:t>Crediscotia</w:t>
      </w:r>
      <w:proofErr w:type="spellEnd"/>
      <w:r w:rsidRPr="000B67D9">
        <w:rPr>
          <w:rFonts w:ascii="Arial Narrow" w:hAnsi="Arial Narrow"/>
          <w:color w:val="000000" w:themeColor="text1"/>
        </w:rPr>
        <w:t xml:space="preserve">, y Agentes </w:t>
      </w:r>
      <w:proofErr w:type="spellStart"/>
      <w:r w:rsidRPr="000B67D9">
        <w:rPr>
          <w:rFonts w:ascii="Arial Narrow" w:hAnsi="Arial Narrow"/>
          <w:color w:val="000000" w:themeColor="text1"/>
        </w:rPr>
        <w:t>Kasnet</w:t>
      </w:r>
      <w:proofErr w:type="spellEnd"/>
      <w:r w:rsidRPr="000B67D9">
        <w:rPr>
          <w:rFonts w:ascii="Arial Narrow" w:hAnsi="Arial Narrow"/>
          <w:color w:val="000000" w:themeColor="text1"/>
        </w:rPr>
        <w:t>. Esta cuenta tendrá una vigencia máxima de 1 año (en caso de manten</w:t>
      </w:r>
      <w:r w:rsidR="009B503E" w:rsidRPr="000B67D9">
        <w:rPr>
          <w:rFonts w:ascii="Arial Narrow" w:hAnsi="Arial Narrow"/>
          <w:color w:val="000000" w:themeColor="text1"/>
        </w:rPr>
        <w:t>er saldo) desde el momento del abono</w:t>
      </w:r>
      <w:r w:rsidRPr="000B67D9">
        <w:rPr>
          <w:rFonts w:ascii="Arial Narrow" w:hAnsi="Arial Narrow"/>
          <w:color w:val="000000" w:themeColor="text1"/>
        </w:rPr>
        <w:t xml:space="preserve">. </w:t>
      </w:r>
    </w:p>
    <w:p w14:paraId="0AECEABA" w14:textId="702F31D4"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color w:val="000000" w:themeColor="text1"/>
        </w:rPr>
        <w:t xml:space="preserve">(2) La Tasa de interés Efectiva Anual (TEA) es igual a la Tasa de Rendimiento Efectiva Anual (TREA) y se rige por un año de trescientos sesenta (360) días, cumplido el plazo señalado y la Cuenta Intangible mantenga saldo, será migrada a una Cuenta Imparable, a la que se le aplicarán las tarifas y condiciones de dicha cuenta. </w:t>
      </w:r>
      <w:proofErr w:type="spellStart"/>
      <w:r w:rsidRPr="000B67D9">
        <w:rPr>
          <w:rFonts w:ascii="Arial Narrow" w:hAnsi="Arial Narrow"/>
          <w:color w:val="000000" w:themeColor="text1"/>
        </w:rPr>
        <w:t>Verificalo</w:t>
      </w:r>
      <w:proofErr w:type="spellEnd"/>
      <w:r w:rsidRPr="000B67D9">
        <w:rPr>
          <w:rFonts w:ascii="Arial Narrow" w:hAnsi="Arial Narrow"/>
          <w:color w:val="000000" w:themeColor="text1"/>
        </w:rPr>
        <w:t xml:space="preserve"> en </w:t>
      </w:r>
      <w:proofErr w:type="spellStart"/>
      <w:r w:rsidRPr="000B67D9">
        <w:rPr>
          <w:rFonts w:ascii="Arial Narrow" w:hAnsi="Arial Narrow"/>
          <w:color w:val="000000" w:themeColor="text1"/>
        </w:rPr>
        <w:t>Crediscotia</w:t>
      </w:r>
      <w:proofErr w:type="spellEnd"/>
      <w:r w:rsidRPr="000B67D9">
        <w:rPr>
          <w:rFonts w:ascii="Arial Narrow" w:hAnsi="Arial Narrow"/>
          <w:color w:val="000000" w:themeColor="text1"/>
        </w:rPr>
        <w:t xml:space="preserve"> en Linea en </w:t>
      </w:r>
      <w:hyperlink r:id="rId12" w:history="1">
        <w:r w:rsidRPr="000B67D9">
          <w:rPr>
            <w:rStyle w:val="Hyperlink"/>
            <w:rFonts w:ascii="Arial Narrow" w:hAnsi="Arial Narrow"/>
          </w:rPr>
          <w:t>www.crediscotia.com.pe</w:t>
        </w:r>
      </w:hyperlink>
      <w:r w:rsidRPr="000B67D9">
        <w:rPr>
          <w:rFonts w:ascii="Arial Narrow" w:hAnsi="Arial Narrow"/>
        </w:rPr>
        <w:t xml:space="preserve"> Fecha de corte para el cálculo de intereses: el último día de cada mes. Fecha de abono de intereses: último día de cada mes (Si el último día del mes fuera Domingo se calculará al día anterior). </w:t>
      </w:r>
    </w:p>
    <w:p w14:paraId="3DF5AB3A"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(3) El término </w:t>
      </w:r>
      <w:proofErr w:type="spellStart"/>
      <w:r w:rsidRPr="000B67D9">
        <w:rPr>
          <w:rFonts w:ascii="Arial Narrow" w:hAnsi="Arial Narrow"/>
        </w:rPr>
        <w:t>interplaza</w:t>
      </w:r>
      <w:proofErr w:type="spellEnd"/>
      <w:r w:rsidRPr="000B67D9">
        <w:rPr>
          <w:rFonts w:ascii="Arial Narrow" w:hAnsi="Arial Narrow"/>
        </w:rPr>
        <w:t xml:space="preserve"> se refiere a las operaciones realizadas entre cuentas pertenecientes a agencias de una plaza distinta a la plaza donde se realizó la apertura. </w:t>
      </w:r>
    </w:p>
    <w:p w14:paraId="14B698C1"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(4) Se podrán realizar transferencias a cuentas propias o a terceros, </w:t>
      </w:r>
      <w:proofErr w:type="spellStart"/>
      <w:r w:rsidRPr="000B67D9">
        <w:rPr>
          <w:rFonts w:ascii="Arial Narrow" w:hAnsi="Arial Narrow"/>
        </w:rPr>
        <w:t>intermoneda</w:t>
      </w:r>
      <w:proofErr w:type="spellEnd"/>
      <w:r w:rsidRPr="000B67D9">
        <w:rPr>
          <w:rFonts w:ascii="Arial Narrow" w:hAnsi="Arial Narrow"/>
        </w:rPr>
        <w:t xml:space="preserve"> (soles o dólares). </w:t>
      </w:r>
    </w:p>
    <w:p w14:paraId="3C0EDEEF"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(5) Cuando recibas tu tarjeta de débito fírmala antes de utilizarla. Para mayor seguridad cambia tu clave cada tres meses en los cajeros automáticos Scotiabank. Asimismo, si deseas realizar pagos y transferencias puedes realizarlo a través de CrediScotia en línea www.crediscotia.com.pe solicitando tu CLAVE DIGITAL, una clave dinámica que cambia constantemente. Consulta las condiciones de este servicio en la red de agencias o en www.crediscotia.com.pe. </w:t>
      </w:r>
    </w:p>
    <w:p w14:paraId="218B40DB"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(6) Duplicado, reposición o reimpresión en caso de robo, pérdida o sustracción. En caso de emergencia: Si has sido víctima de fraude, bloquea tu tarjeta inmediatamente llamando a Servicio de Atención al Cliente al 211-9000 (Lima) o al 0-801-1-9000 (desde teléfono fijo de provincia), en ambos casos marca la opción 1 y solicita una nueva tarjeta en nuestras agencias CrediScotia. Si el Cajero Automático (Scotiabank) retiene tu tarjeta, bloquéala inmediatamente.</w:t>
      </w:r>
    </w:p>
    <w:p w14:paraId="7643D6B7"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p>
    <w:p w14:paraId="23911D6C"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Las consultas de saldos y movimientos por los siguientes canales son libres de costo: Banca telefónica, Terminal de Pagos y Consultas, Banca Internet - CrediScotia en Línea.</w:t>
      </w:r>
    </w:p>
    <w:p w14:paraId="1122844A"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El cálculo de intereses se realiza de forma diaria (capitalización diaria) dependiendo del saldo de la cuenta al final del día.</w:t>
      </w:r>
    </w:p>
    <w:p w14:paraId="7439CC5E"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Tipo de Cambio Referencial: Dólar S/ 3.30. Se deberá tener en cuenta el tipo de cambio vigente del día que se efectúe la operación.</w:t>
      </w:r>
    </w:p>
    <w:p w14:paraId="686228E8"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Depósito respaldado por el Fondo de Seguro de Depósitos. Mayor información en: </w:t>
      </w:r>
      <w:hyperlink r:id="rId13" w:history="1">
        <w:r w:rsidRPr="000B67D9">
          <w:rPr>
            <w:rStyle w:val="Hyperlink"/>
            <w:rFonts w:ascii="Arial Narrow" w:hAnsi="Arial Narrow"/>
          </w:rPr>
          <w:t>www.fsd.org.pe</w:t>
        </w:r>
      </w:hyperlink>
    </w:p>
    <w:p w14:paraId="18C848BD"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En caso de fallecimiento del titular, todo familiar tiene la obligación de comunicar a la Financiera el fallecimiento del mismo,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569B492F"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De no encontrarse conforme con las condiciones contractuales, EL CLIENTE podrá solicitar unilateralmente la resolución del contrato suscrito ingresando una comunicación por escrito en la red de Agencias de LA FINANCIERA a nivel nacional.</w:t>
      </w:r>
    </w:p>
    <w:p w14:paraId="1E5377B4" w14:textId="501FEF33"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En el caso de reclamos por las operaciones o servicios realizados, los pueden presentar en cualquier agencia de la FINANCIERA a nivel nacional o llamando a la Banca Telefónica al 211-9000 o al 0-801-1-9000 (provincia). Adicionalmente al reclamo que pueda presentar ante LA FINANCIERA,</w:t>
      </w:r>
      <w:r w:rsidR="007B5667" w:rsidRPr="000B67D9">
        <w:rPr>
          <w:rFonts w:ascii="Arial Narrow" w:hAnsi="Arial Narrow"/>
        </w:rPr>
        <w:t xml:space="preserve"> en caso</w:t>
      </w:r>
      <w:r w:rsidRPr="000B67D9">
        <w:rPr>
          <w:rFonts w:ascii="Arial Narrow" w:hAnsi="Arial Narrow"/>
        </w:rPr>
        <w:t xml:space="preserve"> El CLIENTE </w:t>
      </w:r>
      <w:r w:rsidR="007B5667" w:rsidRPr="000B67D9">
        <w:rPr>
          <w:rFonts w:ascii="Arial Narrow" w:hAnsi="Arial Narrow"/>
        </w:rPr>
        <w:t xml:space="preserve">no esté satisfecho con la respuesta brindada </w:t>
      </w:r>
      <w:r w:rsidRPr="000B67D9">
        <w:rPr>
          <w:rFonts w:ascii="Arial Narrow" w:hAnsi="Arial Narrow"/>
        </w:rPr>
        <w:t xml:space="preserve">podrá acudir también a otras instancias con la finalidad de presentar sus reclamos, tales como </w:t>
      </w:r>
      <w:r w:rsidR="007B5667" w:rsidRPr="000B67D9">
        <w:rPr>
          <w:rFonts w:ascii="Arial Narrow" w:hAnsi="Arial Narrow"/>
        </w:rPr>
        <w:t xml:space="preserve">el Defensor del Cliente Financiero (DCF) ingresando al portal </w:t>
      </w:r>
      <w:hyperlink r:id="rId14" w:history="1">
        <w:r w:rsidR="007B5667" w:rsidRPr="000B67D9">
          <w:rPr>
            <w:rStyle w:val="Hyperlink"/>
            <w:rFonts w:ascii="Arial Narrow" w:hAnsi="Arial Narrow"/>
            <w:color w:val="auto"/>
          </w:rPr>
          <w:t>www.dcf.pe</w:t>
        </w:r>
      </w:hyperlink>
      <w:r w:rsidR="007B5667" w:rsidRPr="000B67D9">
        <w:rPr>
          <w:rFonts w:ascii="Arial Narrow" w:hAnsi="Arial Narrow"/>
        </w:rPr>
        <w:t xml:space="preserve"> en la opción “ingresa tu reclamo”; también tiene disponible </w:t>
      </w:r>
      <w:r w:rsidRPr="000B67D9">
        <w:rPr>
          <w:rFonts w:ascii="Arial Narrow" w:hAnsi="Arial Narrow"/>
        </w:rPr>
        <w:t>la Superintendencia de Banca, Seguros y AFP, INDECOPI, entre otros.</w:t>
      </w:r>
    </w:p>
    <w:p w14:paraId="0323EFE3"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Las partes acuerdan que las tasas de interés, comisiones y gastos podrán ser modificados por LA FINANCIERA durante la vigencia de LA CUENTA, de acuerdo a las condiciones establecidas en el contrato respectivo y normatividad vigente. La permanencia o continuación en el uso de los servicios por parte de EL CLIENTE significarán su total aceptación a las referidas modificaciones, por lo que, de no estar conforme con ellas, EL CLIENTE deberá, manifestarlo por escrito dentro del plazo señalado en la comunicación y/o tomado conocimiento de las mismas, cesando en ese caso el servicio no aceptado, con el consiguiente retiro de lo depositado y de ser el caso, los demás pasivos que EL CLIENTE mantenga frente a LA FINANCIERA.</w:t>
      </w:r>
    </w:p>
    <w:p w14:paraId="14B6937C" w14:textId="18D30624" w:rsidR="00BB3B7A" w:rsidRPr="000B67D9" w:rsidRDefault="00BB3B7A" w:rsidP="00BB3B7A">
      <w:pPr>
        <w:pStyle w:val="ListParagraph"/>
        <w:tabs>
          <w:tab w:val="left" w:pos="270"/>
        </w:tabs>
        <w:spacing w:after="0" w:line="240" w:lineRule="auto"/>
        <w:ind w:left="0"/>
        <w:jc w:val="both"/>
        <w:rPr>
          <w:rFonts w:ascii="Arial Narrow" w:hAnsi="Arial Narrow"/>
          <w:sz w:val="8"/>
        </w:rPr>
      </w:pPr>
      <w:r w:rsidRPr="000B67D9">
        <w:rPr>
          <w:rFonts w:ascii="Arial Narrow" w:hAnsi="Arial Narrow"/>
        </w:rPr>
        <w:t xml:space="preserve">El CLIENTE declara haber recibido la presente Cartilla de Información y el Contrato de Cuenta de Ahorros y Servicios Financieros aprobado por Resolución SBS </w:t>
      </w:r>
      <w:proofErr w:type="spellStart"/>
      <w:r w:rsidRPr="000B67D9">
        <w:rPr>
          <w:rFonts w:ascii="Arial Narrow" w:hAnsi="Arial Narrow"/>
        </w:rPr>
        <w:t>N°</w:t>
      </w:r>
      <w:proofErr w:type="spellEnd"/>
      <w:r w:rsidR="00C12CFB" w:rsidRPr="000B67D9">
        <w:rPr>
          <w:rFonts w:ascii="Arial Narrow" w:hAnsi="Arial Narrow"/>
        </w:rPr>
        <w:t xml:space="preserve"> </w:t>
      </w:r>
      <w:r w:rsidR="007B5667" w:rsidRPr="000B67D9">
        <w:rPr>
          <w:rFonts w:ascii="Arial Narrow" w:hAnsi="Arial Narrow"/>
        </w:rPr>
        <w:t>03591</w:t>
      </w:r>
      <w:r w:rsidR="00C12CFB" w:rsidRPr="000B67D9">
        <w:rPr>
          <w:rFonts w:ascii="Arial Narrow" w:hAnsi="Arial Narrow"/>
        </w:rPr>
        <w:t>-2023</w:t>
      </w:r>
      <w:r w:rsidR="00276E11" w:rsidRPr="000B67D9">
        <w:rPr>
          <w:rFonts w:ascii="Arial Narrow" w:hAnsi="Arial Narrow"/>
        </w:rPr>
        <w:t xml:space="preserve"> y Oficio </w:t>
      </w:r>
      <w:proofErr w:type="spellStart"/>
      <w:r w:rsidR="00276E11" w:rsidRPr="000B67D9">
        <w:rPr>
          <w:rFonts w:ascii="Arial Narrow" w:hAnsi="Arial Narrow"/>
        </w:rPr>
        <w:t>N°</w:t>
      </w:r>
      <w:proofErr w:type="spellEnd"/>
      <w:r w:rsidR="00276E11" w:rsidRPr="000B67D9">
        <w:rPr>
          <w:rFonts w:ascii="Arial Narrow" w:hAnsi="Arial Narrow"/>
        </w:rPr>
        <w:t xml:space="preserve"> 26746-2024-SBS</w:t>
      </w:r>
      <w:r w:rsidRPr="000B67D9">
        <w:rPr>
          <w:rFonts w:ascii="Arial Narrow" w:hAnsi="Arial Narrow"/>
        </w:rPr>
        <w:t>, para su lectura previa y que la Financiera ha absuelto todas sus preguntas, suscribiendo el presente documento en señal de conformidad y con absoluto conocimiento de sus alcances en cuanto a derechos, obligaciones y responsabilidades contenidas.</w:t>
      </w:r>
    </w:p>
    <w:p w14:paraId="3B44C27C"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p>
    <w:p w14:paraId="57E5CFA2" w14:textId="78F74E89"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t>De acuerdo a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265B69B9"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p>
    <w:p w14:paraId="1BF398F4" w14:textId="77777777" w:rsidR="00BB3B7A" w:rsidRPr="000B67D9" w:rsidRDefault="00BB3B7A" w:rsidP="00BB3B7A">
      <w:pPr>
        <w:pStyle w:val="ListParagraph"/>
        <w:tabs>
          <w:tab w:val="left" w:pos="270"/>
        </w:tabs>
        <w:spacing w:after="0" w:line="240" w:lineRule="auto"/>
        <w:ind w:left="0"/>
        <w:jc w:val="both"/>
        <w:rPr>
          <w:rFonts w:ascii="Arial Narrow" w:hAnsi="Arial Narrow"/>
        </w:rPr>
      </w:pPr>
      <w:r w:rsidRPr="000B67D9">
        <w:rPr>
          <w:rFonts w:ascii="Arial Narrow" w:hAnsi="Arial Narrow"/>
        </w:rPr>
        <w:lastRenderedPageBreak/>
        <w:t>Todas las condiciones se refieren al tarifario a la fecha en que se emite la presente Cartilla de Información. Las transacciones antes señaladas estarán afectas a los tributos de acuerdo a disposiciones legales vigentes. En lo que respecta al ITF, la tasa actual es de 0.005%.</w:t>
      </w:r>
    </w:p>
    <w:p w14:paraId="6B3F8BB3" w14:textId="77777777" w:rsidR="00BB3B7A" w:rsidRPr="000B67D9" w:rsidRDefault="00BB3B7A" w:rsidP="00BB3B7A">
      <w:pPr>
        <w:spacing w:after="0" w:line="240" w:lineRule="auto"/>
        <w:jc w:val="right"/>
        <w:rPr>
          <w:rFonts w:ascii="Arial Narrow" w:eastAsia="Times New Roman" w:hAnsi="Arial Narrow" w:cs="Calibri"/>
          <w:lang w:eastAsia="es-PE"/>
        </w:rPr>
      </w:pPr>
      <w:r w:rsidRPr="000B67D9">
        <w:rPr>
          <w:noProof/>
          <w:lang w:eastAsia="es-PE"/>
        </w:rPr>
        <mc:AlternateContent>
          <mc:Choice Requires="wps">
            <w:drawing>
              <wp:anchor distT="0" distB="0" distL="114300" distR="114300" simplePos="0" relativeHeight="251663360" behindDoc="0" locked="0" layoutInCell="1" allowOverlap="1" wp14:anchorId="424CD468" wp14:editId="187D8455">
                <wp:simplePos x="0" y="0"/>
                <wp:positionH relativeFrom="column">
                  <wp:posOffset>6844665</wp:posOffset>
                </wp:positionH>
                <wp:positionV relativeFrom="paragraph">
                  <wp:posOffset>117475</wp:posOffset>
                </wp:positionV>
                <wp:extent cx="2524125" cy="838200"/>
                <wp:effectExtent l="0" t="0" r="9525" b="0"/>
                <wp:wrapNone/>
                <wp:docPr id="6" name="Rectangl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E9D1C6" id="Rectangle 3" o:spid="_x0000_s1026" style="position:absolute;margin-left:538.95pt;margin-top:9.25pt;width:198.75pt;height:6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" strokecolor="silver" strokeweight="1.75pt"/>
            </w:pict>
          </mc:Fallback>
        </mc:AlternateContent>
      </w:r>
      <w:r w:rsidRPr="000B67D9">
        <w:rPr>
          <w:noProof/>
          <w:lang w:eastAsia="es-PE"/>
        </w:rPr>
        <mc:AlternateContent>
          <mc:Choice Requires="wps">
            <w:drawing>
              <wp:anchor distT="0" distB="0" distL="114300" distR="114300" simplePos="0" relativeHeight="251662336" behindDoc="0" locked="0" layoutInCell="1" allowOverlap="1" wp14:anchorId="224A6F99" wp14:editId="1CA7F556">
                <wp:simplePos x="0" y="0"/>
                <wp:positionH relativeFrom="column">
                  <wp:posOffset>5568950</wp:posOffset>
                </wp:positionH>
                <wp:positionV relativeFrom="paragraph">
                  <wp:posOffset>127000</wp:posOffset>
                </wp:positionV>
                <wp:extent cx="895350" cy="847725"/>
                <wp:effectExtent l="0" t="0" r="0" b="9525"/>
                <wp:wrapNone/>
                <wp:docPr id="7" name="Rectangle 4">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7A28F7" id="Rectangle 4" o:spid="_x0000_s1026" style="position:absolute;margin-left:438.5pt;margin-top:10pt;width:70.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" strokecolor="silver" strokeweight="1.75pt"/>
            </w:pict>
          </mc:Fallback>
        </mc:AlternateContent>
      </w:r>
    </w:p>
    <w:p w14:paraId="7FDF41AB" w14:textId="77777777" w:rsidR="00BB3B7A" w:rsidRPr="000B67D9" w:rsidRDefault="00BB3B7A" w:rsidP="00BB3B7A">
      <w:pPr>
        <w:spacing w:after="0" w:line="360" w:lineRule="auto"/>
        <w:rPr>
          <w:rFonts w:ascii="Arial Narrow" w:eastAsia="Times New Roman" w:hAnsi="Arial Narrow" w:cs="Calibri"/>
          <w:lang w:eastAsia="es-PE"/>
        </w:rPr>
      </w:pPr>
    </w:p>
    <w:p w14:paraId="32E72FD6" w14:textId="77777777" w:rsidR="00BB3B7A" w:rsidRPr="000B67D9" w:rsidRDefault="00BB3B7A" w:rsidP="00BB3B7A">
      <w:pPr>
        <w:spacing w:after="0" w:line="360" w:lineRule="auto"/>
        <w:rPr>
          <w:rFonts w:ascii="Arial Narrow" w:eastAsia="Times New Roman" w:hAnsi="Arial Narrow" w:cs="Calibri"/>
          <w:lang w:eastAsia="es-PE"/>
        </w:rPr>
      </w:pPr>
      <w:r w:rsidRPr="000B67D9">
        <w:rPr>
          <w:rFonts w:ascii="Arial Narrow" w:eastAsia="Times New Roman" w:hAnsi="Arial Narrow" w:cs="Calibri"/>
          <w:lang w:eastAsia="es-PE"/>
        </w:rPr>
        <w:t>Nombres y Apellidos: _________________________________</w:t>
      </w:r>
    </w:p>
    <w:p w14:paraId="6A23022D" w14:textId="77777777" w:rsidR="00BB3B7A" w:rsidRPr="000B67D9" w:rsidRDefault="00BB3B7A" w:rsidP="00BB3B7A">
      <w:pPr>
        <w:spacing w:after="0" w:line="360" w:lineRule="auto"/>
        <w:rPr>
          <w:rFonts w:ascii="Arial Narrow" w:eastAsia="Times New Roman" w:hAnsi="Arial Narrow" w:cs="Calibri"/>
          <w:lang w:eastAsia="es-PE"/>
        </w:rPr>
      </w:pPr>
      <w:r w:rsidRPr="000B67D9">
        <w:rPr>
          <w:rFonts w:ascii="Arial Narrow" w:eastAsia="Times New Roman" w:hAnsi="Arial Narrow" w:cs="Calibri"/>
          <w:lang w:eastAsia="es-PE"/>
        </w:rPr>
        <w:t>N° de Documento: ___________________________________</w:t>
      </w:r>
    </w:p>
    <w:p w14:paraId="5C176597" w14:textId="77777777" w:rsidR="00BB3B7A" w:rsidRPr="000B67D9" w:rsidRDefault="00BB3B7A" w:rsidP="00BB3B7A">
      <w:pPr>
        <w:spacing w:after="0" w:line="360" w:lineRule="auto"/>
        <w:rPr>
          <w:rFonts w:ascii="Arial Narrow" w:eastAsia="Times New Roman" w:hAnsi="Arial Narrow" w:cs="Calibri"/>
          <w:sz w:val="12"/>
          <w:szCs w:val="12"/>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BB3B7A" w:rsidRPr="000B67D9" w14:paraId="5312AE6D" w14:textId="77777777" w:rsidTr="00AE49AC">
        <w:tc>
          <w:tcPr>
            <w:tcW w:w="3847" w:type="dxa"/>
            <w:tcBorders>
              <w:top w:val="nil"/>
              <w:left w:val="nil"/>
              <w:bottom w:val="nil"/>
              <w:right w:val="nil"/>
            </w:tcBorders>
            <w:shd w:val="clear" w:color="auto" w:fill="auto"/>
          </w:tcPr>
          <w:p w14:paraId="08A14B9E" w14:textId="77777777" w:rsidR="00BB3B7A" w:rsidRPr="000B67D9" w:rsidRDefault="00BB3B7A" w:rsidP="00AE49AC">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2EDEA63F" w14:textId="77777777" w:rsidR="00BB3B7A" w:rsidRPr="000B67D9" w:rsidRDefault="00BB3B7A" w:rsidP="00AE49AC">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2E9C7B0E" w14:textId="77777777" w:rsidR="00BB3B7A" w:rsidRPr="000B67D9" w:rsidRDefault="00BB3B7A" w:rsidP="00AE49AC">
            <w:pPr>
              <w:spacing w:after="0" w:line="240" w:lineRule="auto"/>
              <w:jc w:val="center"/>
              <w:rPr>
                <w:rFonts w:ascii="Arial Narrow" w:eastAsia="Times New Roman" w:hAnsi="Arial Narrow" w:cs="Calibri"/>
                <w:sz w:val="18"/>
                <w:szCs w:val="18"/>
                <w:lang w:eastAsia="es-PE"/>
              </w:rPr>
            </w:pPr>
            <w:r w:rsidRPr="000B67D9">
              <w:rPr>
                <w:rFonts w:ascii="Arial Narrow" w:eastAsia="Times New Roman" w:hAnsi="Arial Narrow" w:cs="Calibri"/>
                <w:sz w:val="18"/>
                <w:szCs w:val="18"/>
                <w:lang w:eastAsia="es-PE"/>
              </w:rPr>
              <w:t>Huella Digital Índice</w:t>
            </w:r>
          </w:p>
          <w:p w14:paraId="44299C75" w14:textId="77777777" w:rsidR="00BB3B7A" w:rsidRPr="000B67D9" w:rsidRDefault="00BB3B7A" w:rsidP="00AE49AC">
            <w:pPr>
              <w:spacing w:after="0" w:line="240" w:lineRule="auto"/>
              <w:jc w:val="center"/>
              <w:rPr>
                <w:rFonts w:ascii="Arial Narrow" w:eastAsia="Times New Roman" w:hAnsi="Arial Narrow" w:cs="Calibri"/>
                <w:sz w:val="20"/>
                <w:szCs w:val="20"/>
                <w:lang w:eastAsia="es-PE"/>
              </w:rPr>
            </w:pPr>
            <w:r w:rsidRPr="000B67D9">
              <w:rPr>
                <w:rFonts w:ascii="Arial Narrow" w:eastAsia="Times New Roman" w:hAnsi="Arial Narrow" w:cs="Calibri"/>
                <w:sz w:val="18"/>
                <w:szCs w:val="18"/>
                <w:lang w:eastAsia="es-PE"/>
              </w:rPr>
              <w:t>Derecho</w:t>
            </w:r>
          </w:p>
        </w:tc>
        <w:tc>
          <w:tcPr>
            <w:tcW w:w="5040" w:type="dxa"/>
            <w:tcBorders>
              <w:top w:val="nil"/>
              <w:left w:val="nil"/>
              <w:bottom w:val="nil"/>
              <w:right w:val="nil"/>
            </w:tcBorders>
            <w:shd w:val="clear" w:color="auto" w:fill="auto"/>
          </w:tcPr>
          <w:p w14:paraId="0B63FC37" w14:textId="77777777" w:rsidR="00BB3B7A" w:rsidRPr="000B67D9" w:rsidRDefault="00BB3B7A" w:rsidP="00AE49AC">
            <w:pPr>
              <w:spacing w:after="0" w:line="240" w:lineRule="auto"/>
              <w:jc w:val="center"/>
              <w:rPr>
                <w:rFonts w:ascii="Arial Narrow" w:eastAsia="Times New Roman" w:hAnsi="Arial Narrow" w:cs="Calibri"/>
                <w:sz w:val="18"/>
                <w:szCs w:val="18"/>
                <w:lang w:eastAsia="es-PE"/>
              </w:rPr>
            </w:pPr>
            <w:r w:rsidRPr="000B67D9">
              <w:rPr>
                <w:rFonts w:ascii="Arial Narrow" w:eastAsia="Times New Roman" w:hAnsi="Arial Narrow" w:cs="Calibri"/>
                <w:sz w:val="18"/>
                <w:szCs w:val="18"/>
                <w:lang w:eastAsia="es-PE"/>
              </w:rPr>
              <w:t xml:space="preserve">Firma del Cliente (con lapicero tinta negra, </w:t>
            </w:r>
          </w:p>
          <w:p w14:paraId="15CF76F1" w14:textId="77777777" w:rsidR="00BB3B7A" w:rsidRPr="000B67D9" w:rsidRDefault="00BB3B7A" w:rsidP="00AE49AC">
            <w:pPr>
              <w:spacing w:after="0" w:line="240" w:lineRule="auto"/>
              <w:jc w:val="center"/>
              <w:rPr>
                <w:rFonts w:ascii="Arial Narrow" w:eastAsia="Times New Roman" w:hAnsi="Arial Narrow" w:cs="Calibri"/>
                <w:sz w:val="18"/>
                <w:szCs w:val="18"/>
                <w:lang w:eastAsia="es-PE"/>
              </w:rPr>
            </w:pPr>
            <w:r w:rsidRPr="000B67D9">
              <w:rPr>
                <w:rFonts w:ascii="Arial Narrow" w:eastAsia="Times New Roman" w:hAnsi="Arial Narrow" w:cs="Calibri"/>
                <w:sz w:val="18"/>
                <w:szCs w:val="18"/>
                <w:lang w:eastAsia="es-PE"/>
              </w:rPr>
              <w:t>sin sobrepasar el recuadro)</w:t>
            </w:r>
          </w:p>
        </w:tc>
      </w:tr>
      <w:tr w:rsidR="00BB3B7A" w:rsidRPr="000B67D9" w14:paraId="60037150" w14:textId="77777777" w:rsidTr="00AE49AC">
        <w:tc>
          <w:tcPr>
            <w:tcW w:w="3847" w:type="dxa"/>
            <w:tcBorders>
              <w:top w:val="nil"/>
              <w:left w:val="nil"/>
              <w:bottom w:val="single" w:sz="4" w:space="0" w:color="auto"/>
              <w:right w:val="nil"/>
            </w:tcBorders>
            <w:shd w:val="clear" w:color="auto" w:fill="auto"/>
          </w:tcPr>
          <w:p w14:paraId="0EBA7241" w14:textId="77777777" w:rsidR="00BB3B7A" w:rsidRPr="000B67D9" w:rsidRDefault="00BB3B7A" w:rsidP="00AE49AC">
            <w:pPr>
              <w:spacing w:after="0" w:line="360" w:lineRule="auto"/>
              <w:rPr>
                <w:rFonts w:ascii="Arial Narrow" w:eastAsia="Times New Roman" w:hAnsi="Arial Narrow" w:cs="Calibri"/>
                <w:lang w:eastAsia="es-PE"/>
              </w:rPr>
            </w:pPr>
          </w:p>
          <w:p w14:paraId="21BDD53F" w14:textId="77777777" w:rsidR="00BB3B7A" w:rsidRPr="000B67D9" w:rsidRDefault="00BB3B7A" w:rsidP="00AE49AC">
            <w:pPr>
              <w:spacing w:after="0" w:line="360" w:lineRule="auto"/>
              <w:rPr>
                <w:rFonts w:ascii="Arial Narrow" w:eastAsia="Times New Roman" w:hAnsi="Arial Narrow" w:cs="Calibri"/>
                <w:lang w:eastAsia="es-PE"/>
              </w:rPr>
            </w:pPr>
          </w:p>
          <w:p w14:paraId="0AAA9D1E" w14:textId="77777777" w:rsidR="00BB3B7A" w:rsidRPr="000B67D9" w:rsidRDefault="00BB3B7A" w:rsidP="00AE49AC">
            <w:pPr>
              <w:spacing w:after="0" w:line="360" w:lineRule="auto"/>
              <w:rPr>
                <w:rFonts w:ascii="Arial Narrow" w:eastAsia="Times New Roman" w:hAnsi="Arial Narrow" w:cs="Calibri"/>
                <w:lang w:eastAsia="es-PE"/>
              </w:rPr>
            </w:pPr>
          </w:p>
          <w:p w14:paraId="4E5A4976" w14:textId="77777777" w:rsidR="00BB3B7A" w:rsidRPr="000B67D9" w:rsidRDefault="00BB3B7A" w:rsidP="00AE49AC">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78C10B3B" w14:textId="77777777" w:rsidR="00BB3B7A" w:rsidRPr="000B67D9" w:rsidRDefault="00BB3B7A" w:rsidP="00AE49AC">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20D8CEB2" w14:textId="77777777" w:rsidR="00BB3B7A" w:rsidRPr="000B67D9" w:rsidRDefault="00BB3B7A" w:rsidP="00AE49AC">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387E4AAC" w14:textId="77777777" w:rsidR="00BB3B7A" w:rsidRPr="000B67D9" w:rsidRDefault="00BB3B7A" w:rsidP="00AE49AC">
            <w:pPr>
              <w:spacing w:after="0" w:line="240" w:lineRule="auto"/>
              <w:jc w:val="center"/>
              <w:rPr>
                <w:rFonts w:ascii="Arial Narrow" w:eastAsia="Times New Roman" w:hAnsi="Arial Narrow" w:cs="Calibri"/>
                <w:sz w:val="18"/>
                <w:szCs w:val="18"/>
                <w:lang w:eastAsia="es-PE"/>
              </w:rPr>
            </w:pPr>
          </w:p>
        </w:tc>
      </w:tr>
      <w:tr w:rsidR="00BB3B7A" w:rsidRPr="000B67D9" w14:paraId="225F6FB2" w14:textId="77777777" w:rsidTr="00AE49AC">
        <w:tc>
          <w:tcPr>
            <w:tcW w:w="3847" w:type="dxa"/>
            <w:tcBorders>
              <w:top w:val="single" w:sz="4" w:space="0" w:color="auto"/>
              <w:left w:val="nil"/>
              <w:bottom w:val="nil"/>
              <w:right w:val="nil"/>
            </w:tcBorders>
            <w:shd w:val="clear" w:color="auto" w:fill="auto"/>
          </w:tcPr>
          <w:p w14:paraId="7F1EF92D" w14:textId="77777777" w:rsidR="00BB3B7A" w:rsidRPr="000B67D9" w:rsidRDefault="00BB3B7A" w:rsidP="00AE49AC">
            <w:pPr>
              <w:spacing w:after="0" w:line="240" w:lineRule="auto"/>
              <w:rPr>
                <w:rFonts w:ascii="Arial Narrow" w:eastAsia="Times New Roman" w:hAnsi="Arial Narrow" w:cs="Calibri"/>
                <w:lang w:eastAsia="es-PE"/>
              </w:rPr>
            </w:pPr>
            <w:r w:rsidRPr="000B67D9">
              <w:rPr>
                <w:rFonts w:ascii="Arial Narrow" w:eastAsia="Times New Roman" w:hAnsi="Arial Narrow" w:cs="Calibri"/>
                <w:lang w:eastAsia="es-PE"/>
              </w:rPr>
              <w:t>Sello y firma del Responsable de la Atención</w:t>
            </w:r>
          </w:p>
          <w:p w14:paraId="624A41DC" w14:textId="77777777" w:rsidR="00BB3B7A" w:rsidRPr="000B67D9" w:rsidRDefault="00BB3B7A" w:rsidP="00AE49AC">
            <w:pPr>
              <w:spacing w:after="0" w:line="240" w:lineRule="auto"/>
              <w:rPr>
                <w:rFonts w:ascii="Arial Narrow" w:eastAsia="Times New Roman" w:hAnsi="Arial Narrow" w:cs="Calibri"/>
                <w:lang w:eastAsia="es-PE"/>
              </w:rPr>
            </w:pPr>
            <w:r w:rsidRPr="000B67D9">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55CD8158" w14:textId="77777777" w:rsidR="00BB3B7A" w:rsidRPr="000B67D9" w:rsidRDefault="00BB3B7A" w:rsidP="00AE49AC">
            <w:pPr>
              <w:spacing w:after="0" w:line="360" w:lineRule="auto"/>
              <w:rPr>
                <w:rFonts w:ascii="Arial Narrow" w:eastAsia="Times New Roman" w:hAnsi="Arial Narrow" w:cs="Calibri"/>
                <w:lang w:eastAsia="es-PE"/>
              </w:rPr>
            </w:pPr>
            <w:r w:rsidRPr="000B67D9">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47E7E070" w14:textId="77777777" w:rsidR="00BB3B7A" w:rsidRPr="000B67D9" w:rsidRDefault="00BB3B7A" w:rsidP="00AE49AC">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259A0FDE" w14:textId="77777777" w:rsidR="00BB3B7A" w:rsidRPr="000B67D9" w:rsidRDefault="00BB3B7A" w:rsidP="00AE49AC">
            <w:pPr>
              <w:spacing w:after="0" w:line="240" w:lineRule="auto"/>
              <w:jc w:val="center"/>
              <w:rPr>
                <w:rFonts w:ascii="Arial Narrow" w:eastAsia="Times New Roman" w:hAnsi="Arial Narrow" w:cs="Calibri"/>
                <w:b/>
                <w:sz w:val="18"/>
                <w:szCs w:val="18"/>
                <w:lang w:eastAsia="es-PE"/>
              </w:rPr>
            </w:pPr>
          </w:p>
        </w:tc>
      </w:tr>
    </w:tbl>
    <w:p w14:paraId="71092213" w14:textId="77777777" w:rsidR="00FD4E1B" w:rsidRPr="000B67D9" w:rsidRDefault="00FD4E1B" w:rsidP="00FD4E1B">
      <w:pPr>
        <w:pStyle w:val="ListParagraph"/>
        <w:tabs>
          <w:tab w:val="left" w:pos="270"/>
        </w:tabs>
        <w:spacing w:after="0" w:line="240" w:lineRule="auto"/>
        <w:ind w:left="0"/>
        <w:rPr>
          <w:rFonts w:ascii="Arial Narrow" w:hAnsi="Arial Narrow"/>
        </w:rPr>
      </w:pPr>
    </w:p>
    <w:p w14:paraId="066D185C" w14:textId="77777777" w:rsidR="00FD4E1B" w:rsidRPr="000B67D9" w:rsidRDefault="00FD4E1B" w:rsidP="00FD4E1B">
      <w:pPr>
        <w:pStyle w:val="ListParagraph"/>
        <w:tabs>
          <w:tab w:val="left" w:pos="270"/>
        </w:tabs>
        <w:spacing w:after="0" w:line="240" w:lineRule="auto"/>
        <w:ind w:left="0"/>
        <w:rPr>
          <w:rFonts w:ascii="Arial Narrow" w:hAnsi="Arial Narrow"/>
        </w:rPr>
      </w:pPr>
    </w:p>
    <w:p w14:paraId="224C32CD" w14:textId="77777777" w:rsidR="00FD4E1B" w:rsidRPr="000B67D9" w:rsidRDefault="00FD4E1B" w:rsidP="00FD4E1B">
      <w:pPr>
        <w:pStyle w:val="ListParagraph"/>
        <w:tabs>
          <w:tab w:val="left" w:pos="270"/>
        </w:tabs>
        <w:spacing w:after="0" w:line="240" w:lineRule="auto"/>
        <w:ind w:left="0"/>
        <w:rPr>
          <w:rFonts w:ascii="Arial Narrow" w:hAnsi="Arial Narrow"/>
        </w:rPr>
      </w:pPr>
    </w:p>
    <w:p w14:paraId="6045B0D9" w14:textId="77777777" w:rsidR="00677346" w:rsidRPr="000B67D9" w:rsidRDefault="00677346" w:rsidP="00FD4E1B">
      <w:pPr>
        <w:pStyle w:val="ListParagraph"/>
        <w:tabs>
          <w:tab w:val="left" w:pos="270"/>
        </w:tabs>
        <w:spacing w:after="0" w:line="240" w:lineRule="auto"/>
        <w:ind w:left="0"/>
        <w:rPr>
          <w:rFonts w:ascii="Arial Narrow" w:hAnsi="Arial Narrow"/>
        </w:rPr>
      </w:pPr>
    </w:p>
    <w:p w14:paraId="6C9E4E85" w14:textId="77777777" w:rsidR="00677346" w:rsidRPr="000B67D9" w:rsidRDefault="00677346" w:rsidP="00FD4E1B">
      <w:pPr>
        <w:pStyle w:val="ListParagraph"/>
        <w:tabs>
          <w:tab w:val="left" w:pos="270"/>
        </w:tabs>
        <w:spacing w:after="0" w:line="240" w:lineRule="auto"/>
        <w:ind w:left="0"/>
        <w:rPr>
          <w:rFonts w:ascii="Arial Narrow" w:hAnsi="Arial Narrow"/>
        </w:rPr>
      </w:pPr>
    </w:p>
    <w:p w14:paraId="10372E6B" w14:textId="77777777" w:rsidR="00677346" w:rsidRPr="000B67D9" w:rsidRDefault="00677346" w:rsidP="00FD4E1B">
      <w:pPr>
        <w:pStyle w:val="ListParagraph"/>
        <w:tabs>
          <w:tab w:val="left" w:pos="270"/>
        </w:tabs>
        <w:spacing w:after="0" w:line="240" w:lineRule="auto"/>
        <w:ind w:left="0"/>
        <w:rPr>
          <w:rFonts w:ascii="Arial Narrow" w:hAnsi="Arial Narrow"/>
        </w:rPr>
      </w:pPr>
    </w:p>
    <w:p w14:paraId="2FFC7A24" w14:textId="77777777" w:rsidR="00677346" w:rsidRPr="000B67D9" w:rsidRDefault="00677346" w:rsidP="00FD4E1B">
      <w:pPr>
        <w:pStyle w:val="ListParagraph"/>
        <w:tabs>
          <w:tab w:val="left" w:pos="270"/>
        </w:tabs>
        <w:spacing w:after="0" w:line="240" w:lineRule="auto"/>
        <w:ind w:left="0"/>
        <w:rPr>
          <w:rFonts w:ascii="Arial Narrow" w:hAnsi="Arial Narrow"/>
        </w:rPr>
      </w:pPr>
    </w:p>
    <w:p w14:paraId="03E6848F" w14:textId="77777777" w:rsidR="00677346" w:rsidRPr="000B67D9" w:rsidRDefault="00677346" w:rsidP="00FD4E1B">
      <w:pPr>
        <w:pStyle w:val="ListParagraph"/>
        <w:tabs>
          <w:tab w:val="left" w:pos="270"/>
        </w:tabs>
        <w:spacing w:after="0" w:line="240" w:lineRule="auto"/>
        <w:ind w:left="0"/>
        <w:rPr>
          <w:rFonts w:ascii="Arial Narrow" w:hAnsi="Arial Narrow"/>
        </w:rPr>
      </w:pPr>
    </w:p>
    <w:p w14:paraId="3D780E62" w14:textId="77777777" w:rsidR="00677346" w:rsidRPr="000B67D9" w:rsidRDefault="00677346" w:rsidP="00FD4E1B">
      <w:pPr>
        <w:pStyle w:val="ListParagraph"/>
        <w:tabs>
          <w:tab w:val="left" w:pos="270"/>
        </w:tabs>
        <w:spacing w:after="0" w:line="240" w:lineRule="auto"/>
        <w:ind w:left="0"/>
        <w:rPr>
          <w:rFonts w:ascii="Arial Narrow" w:hAnsi="Arial Narrow"/>
        </w:rPr>
      </w:pPr>
    </w:p>
    <w:p w14:paraId="41CC946D" w14:textId="77777777" w:rsidR="00677346" w:rsidRPr="000B67D9" w:rsidRDefault="00677346" w:rsidP="00FD4E1B">
      <w:pPr>
        <w:pStyle w:val="ListParagraph"/>
        <w:tabs>
          <w:tab w:val="left" w:pos="270"/>
        </w:tabs>
        <w:spacing w:after="0" w:line="240" w:lineRule="auto"/>
        <w:ind w:left="0"/>
        <w:rPr>
          <w:rFonts w:ascii="Arial Narrow" w:hAnsi="Arial Narrow"/>
        </w:rPr>
      </w:pPr>
    </w:p>
    <w:p w14:paraId="6066F6BB" w14:textId="77777777" w:rsidR="00677346" w:rsidRPr="000B67D9" w:rsidRDefault="00677346" w:rsidP="00FD4E1B">
      <w:pPr>
        <w:pStyle w:val="ListParagraph"/>
        <w:tabs>
          <w:tab w:val="left" w:pos="270"/>
        </w:tabs>
        <w:spacing w:after="0" w:line="240" w:lineRule="auto"/>
        <w:ind w:left="0"/>
        <w:rPr>
          <w:rFonts w:ascii="Arial Narrow" w:hAnsi="Arial Narrow"/>
        </w:rPr>
      </w:pPr>
    </w:p>
    <w:p w14:paraId="69145BAB" w14:textId="77777777" w:rsidR="00677346" w:rsidRPr="000B67D9" w:rsidRDefault="00677346" w:rsidP="00FD4E1B">
      <w:pPr>
        <w:pStyle w:val="ListParagraph"/>
        <w:tabs>
          <w:tab w:val="left" w:pos="270"/>
        </w:tabs>
        <w:spacing w:after="0" w:line="240" w:lineRule="auto"/>
        <w:ind w:left="0"/>
        <w:rPr>
          <w:rFonts w:ascii="Arial Narrow" w:hAnsi="Arial Narrow"/>
        </w:rPr>
      </w:pPr>
    </w:p>
    <w:p w14:paraId="0F251394" w14:textId="77777777" w:rsidR="00FD4E1B" w:rsidRPr="000B67D9" w:rsidRDefault="00FD4E1B" w:rsidP="00FD4E1B">
      <w:pPr>
        <w:pStyle w:val="ListParagraph"/>
        <w:tabs>
          <w:tab w:val="left" w:pos="270"/>
        </w:tabs>
        <w:spacing w:after="0" w:line="240" w:lineRule="auto"/>
        <w:ind w:left="0"/>
        <w:rPr>
          <w:rFonts w:ascii="Arial Narrow" w:hAnsi="Arial Narrow"/>
        </w:rPr>
      </w:pPr>
    </w:p>
    <w:p w14:paraId="1C6CD4FB" w14:textId="77777777" w:rsidR="00FD4E1B" w:rsidRPr="000B67D9" w:rsidRDefault="00FD4E1B" w:rsidP="00FD4E1B">
      <w:pPr>
        <w:pStyle w:val="ListParagraph"/>
        <w:tabs>
          <w:tab w:val="left" w:pos="270"/>
        </w:tabs>
        <w:spacing w:after="0" w:line="240" w:lineRule="auto"/>
        <w:ind w:left="0"/>
        <w:rPr>
          <w:rFonts w:ascii="Arial Narrow" w:hAnsi="Arial Narrow"/>
        </w:rPr>
      </w:pPr>
    </w:p>
    <w:p w14:paraId="16336E36" w14:textId="77777777" w:rsidR="00FD4E1B" w:rsidRPr="000B67D9" w:rsidRDefault="00FD4E1B" w:rsidP="00FD4E1B">
      <w:pPr>
        <w:pStyle w:val="ListParagraph"/>
        <w:tabs>
          <w:tab w:val="left" w:pos="270"/>
        </w:tabs>
        <w:spacing w:after="0" w:line="240" w:lineRule="auto"/>
        <w:ind w:left="0"/>
        <w:rPr>
          <w:rFonts w:ascii="Arial Narrow" w:hAnsi="Arial Narrow"/>
        </w:rPr>
      </w:pPr>
    </w:p>
    <w:p w14:paraId="610B4378" w14:textId="77777777" w:rsidR="00055EA5" w:rsidRPr="000B67D9" w:rsidRDefault="00055EA5" w:rsidP="00FD4E1B">
      <w:pPr>
        <w:pStyle w:val="ListParagraph"/>
        <w:tabs>
          <w:tab w:val="left" w:pos="270"/>
        </w:tabs>
        <w:spacing w:after="0" w:line="240" w:lineRule="auto"/>
        <w:ind w:left="0"/>
        <w:jc w:val="right"/>
        <w:rPr>
          <w:rFonts w:ascii="Arial Narrow" w:hAnsi="Arial Narrow"/>
          <w:b/>
          <w:sz w:val="20"/>
          <w:szCs w:val="20"/>
        </w:rPr>
      </w:pPr>
    </w:p>
    <w:p w14:paraId="0A2BD9C1" w14:textId="77777777" w:rsidR="00055EA5" w:rsidRPr="000B67D9" w:rsidRDefault="00055EA5" w:rsidP="00FD4E1B">
      <w:pPr>
        <w:pStyle w:val="ListParagraph"/>
        <w:tabs>
          <w:tab w:val="left" w:pos="270"/>
        </w:tabs>
        <w:spacing w:after="0" w:line="240" w:lineRule="auto"/>
        <w:ind w:left="0"/>
        <w:jc w:val="right"/>
        <w:rPr>
          <w:rFonts w:ascii="Arial Narrow" w:hAnsi="Arial Narrow"/>
          <w:b/>
          <w:sz w:val="20"/>
          <w:szCs w:val="20"/>
        </w:rPr>
      </w:pPr>
    </w:p>
    <w:p w14:paraId="6C6FB4A4" w14:textId="77777777" w:rsidR="00055EA5" w:rsidRPr="000B67D9" w:rsidRDefault="00055EA5" w:rsidP="00FD4E1B">
      <w:pPr>
        <w:pStyle w:val="ListParagraph"/>
        <w:tabs>
          <w:tab w:val="left" w:pos="270"/>
        </w:tabs>
        <w:spacing w:after="0" w:line="240" w:lineRule="auto"/>
        <w:ind w:left="0"/>
        <w:jc w:val="right"/>
        <w:rPr>
          <w:rFonts w:ascii="Arial Narrow" w:hAnsi="Arial Narrow"/>
          <w:b/>
          <w:sz w:val="20"/>
          <w:szCs w:val="20"/>
        </w:rPr>
      </w:pPr>
    </w:p>
    <w:p w14:paraId="72558FBF" w14:textId="77777777" w:rsidR="00055EA5" w:rsidRPr="000B67D9" w:rsidRDefault="00055EA5" w:rsidP="00FD4E1B">
      <w:pPr>
        <w:pStyle w:val="ListParagraph"/>
        <w:tabs>
          <w:tab w:val="left" w:pos="270"/>
        </w:tabs>
        <w:spacing w:after="0" w:line="240" w:lineRule="auto"/>
        <w:ind w:left="0"/>
        <w:jc w:val="right"/>
        <w:rPr>
          <w:rFonts w:ascii="Arial Narrow" w:hAnsi="Arial Narrow"/>
          <w:b/>
          <w:sz w:val="20"/>
          <w:szCs w:val="20"/>
        </w:rPr>
      </w:pPr>
    </w:p>
    <w:p w14:paraId="4E17DCF7" w14:textId="1471F1CA" w:rsidR="00FD4E1B" w:rsidRPr="000B67D9" w:rsidRDefault="00FD4E1B" w:rsidP="00FD4E1B">
      <w:pPr>
        <w:pStyle w:val="ListParagraph"/>
        <w:tabs>
          <w:tab w:val="left" w:pos="270"/>
        </w:tabs>
        <w:spacing w:after="0" w:line="240" w:lineRule="auto"/>
        <w:ind w:left="0"/>
        <w:jc w:val="right"/>
        <w:rPr>
          <w:rFonts w:ascii="Arial Narrow" w:hAnsi="Arial Narrow"/>
          <w:b/>
          <w:sz w:val="20"/>
          <w:szCs w:val="20"/>
        </w:rPr>
      </w:pPr>
      <w:r w:rsidRPr="000B67D9">
        <w:rPr>
          <w:rFonts w:ascii="Arial Narrow" w:hAnsi="Arial Narrow"/>
          <w:b/>
          <w:sz w:val="20"/>
          <w:szCs w:val="20"/>
        </w:rPr>
        <w:t>ORIGINAL-FINANCIERA</w:t>
      </w:r>
    </w:p>
    <w:p w14:paraId="0484D749" w14:textId="428CE251" w:rsidR="0061780B" w:rsidRPr="000B67D9" w:rsidRDefault="00FD4E1B" w:rsidP="00FD4E1B">
      <w:pPr>
        <w:spacing w:after="0" w:line="240" w:lineRule="auto"/>
        <w:jc w:val="right"/>
      </w:pPr>
      <w:r w:rsidRPr="000B67D9">
        <w:t xml:space="preserve">  </w:t>
      </w:r>
    </w:p>
    <w:p w14:paraId="656CA48F" w14:textId="77777777" w:rsidR="00276E11" w:rsidRPr="000B67D9" w:rsidRDefault="00276E11" w:rsidP="00055EA5">
      <w:pPr>
        <w:spacing w:after="0" w:line="240" w:lineRule="auto"/>
        <w:jc w:val="right"/>
      </w:pPr>
    </w:p>
    <w:p w14:paraId="5836296E" w14:textId="77777777" w:rsidR="00276E11" w:rsidRPr="000B67D9" w:rsidRDefault="00276E11" w:rsidP="00055EA5">
      <w:pPr>
        <w:spacing w:after="0" w:line="240" w:lineRule="auto"/>
        <w:jc w:val="right"/>
      </w:pPr>
    </w:p>
    <w:p w14:paraId="68D40CA9" w14:textId="77777777" w:rsidR="00276E11" w:rsidRPr="000B67D9" w:rsidRDefault="00276E11" w:rsidP="00055EA5">
      <w:pPr>
        <w:spacing w:after="0" w:line="240" w:lineRule="auto"/>
        <w:jc w:val="right"/>
      </w:pPr>
    </w:p>
    <w:p w14:paraId="35549AE4" w14:textId="07E49FD3" w:rsidR="00055EA5" w:rsidRPr="000B67D9" w:rsidRDefault="00055EA5" w:rsidP="00055EA5">
      <w:pPr>
        <w:spacing w:after="0" w:line="240" w:lineRule="auto"/>
        <w:jc w:val="right"/>
      </w:pPr>
      <w:r w:rsidRPr="000B67D9">
        <w:t xml:space="preserve">    Fecha:     /              /</w:t>
      </w:r>
    </w:p>
    <w:p w14:paraId="09C6F938" w14:textId="77777777" w:rsidR="00055EA5" w:rsidRPr="000B67D9" w:rsidRDefault="00055EA5" w:rsidP="00055EA5">
      <w:pPr>
        <w:spacing w:after="0" w:line="240" w:lineRule="auto"/>
        <w:jc w:val="center"/>
        <w:rPr>
          <w:b/>
        </w:rPr>
      </w:pPr>
      <w:r w:rsidRPr="000B67D9">
        <w:rPr>
          <w:b/>
        </w:rPr>
        <w:t>CARTILLA DE INFORMACIÓN CUENTA INTANGIBLE (S/)</w:t>
      </w:r>
    </w:p>
    <w:p w14:paraId="31538B66" w14:textId="77777777" w:rsidR="00055EA5" w:rsidRPr="000B67D9" w:rsidRDefault="00055EA5" w:rsidP="00055EA5">
      <w:pPr>
        <w:spacing w:after="0" w:line="240" w:lineRule="auto"/>
        <w:jc w:val="center"/>
        <w:rPr>
          <w:b/>
        </w:rPr>
      </w:pPr>
      <w:r w:rsidRPr="000B67D9">
        <w:rPr>
          <w:b/>
        </w:rPr>
        <w:t>Información Previa de los Costos y Condiciones de Operaciones Pasivas. Ley N° 28587 y modificatorias / Resolución S.B.S. N° 3274-2017</w:t>
      </w:r>
    </w:p>
    <w:tbl>
      <w:tblPr>
        <w:tblW w:w="15120" w:type="dxa"/>
        <w:tblCellMar>
          <w:left w:w="70" w:type="dxa"/>
          <w:right w:w="70" w:type="dxa"/>
        </w:tblCellMar>
        <w:tblLook w:val="04A0" w:firstRow="1" w:lastRow="0" w:firstColumn="1" w:lastColumn="0" w:noHBand="0" w:noVBand="1"/>
      </w:tblPr>
      <w:tblGrid>
        <w:gridCol w:w="8120"/>
        <w:gridCol w:w="7000"/>
      </w:tblGrid>
      <w:tr w:rsidR="00055EA5" w:rsidRPr="000B67D9" w14:paraId="3D3F1800" w14:textId="77777777" w:rsidTr="001820A2">
        <w:trPr>
          <w:trHeight w:val="333"/>
        </w:trPr>
        <w:tc>
          <w:tcPr>
            <w:tcW w:w="812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D17886A"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Conceptos</w:t>
            </w:r>
          </w:p>
        </w:tc>
        <w:tc>
          <w:tcPr>
            <w:tcW w:w="7000" w:type="dxa"/>
            <w:tcBorders>
              <w:top w:val="single" w:sz="8" w:space="0" w:color="auto"/>
              <w:left w:val="nil"/>
              <w:bottom w:val="single" w:sz="8" w:space="0" w:color="auto"/>
              <w:right w:val="single" w:sz="8" w:space="0" w:color="auto"/>
            </w:tcBorders>
            <w:shd w:val="clear" w:color="000000" w:fill="BFBFBF"/>
            <w:vAlign w:val="center"/>
            <w:hideMark/>
          </w:tcPr>
          <w:p w14:paraId="3AD94BD6"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Cuenta Intangible (1)</w:t>
            </w:r>
          </w:p>
        </w:tc>
      </w:tr>
      <w:tr w:rsidR="00055EA5" w:rsidRPr="000B67D9" w14:paraId="345761D5" w14:textId="77777777" w:rsidTr="001820A2">
        <w:trPr>
          <w:trHeight w:val="1762"/>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388887E0" w14:textId="77777777" w:rsidR="00055EA5" w:rsidRPr="000B67D9" w:rsidRDefault="00055EA5" w:rsidP="001820A2">
            <w:pPr>
              <w:spacing w:after="0" w:line="240" w:lineRule="auto"/>
              <w:jc w:val="both"/>
              <w:rPr>
                <w:rFonts w:ascii="Arial Narrow" w:eastAsia="Times New Roman" w:hAnsi="Arial Narrow" w:cs="Calibri"/>
                <w:b/>
                <w:bCs/>
                <w:lang w:eastAsia="es-PE"/>
              </w:rPr>
            </w:pPr>
            <w:r w:rsidRPr="000B67D9">
              <w:rPr>
                <w:rFonts w:ascii="Arial Narrow" w:eastAsia="Times New Roman" w:hAnsi="Arial Narrow" w:cs="Calibri"/>
                <w:b/>
                <w:bCs/>
                <w:lang w:eastAsia="es-PE"/>
              </w:rPr>
              <w:t>Tasa de Rendimiento Efectiva Anual Fija (TREA) (2)</w:t>
            </w:r>
          </w:p>
          <w:p w14:paraId="68D167FA" w14:textId="77777777" w:rsidR="00055EA5" w:rsidRPr="000B67D9" w:rsidRDefault="00055EA5" w:rsidP="001820A2">
            <w:pPr>
              <w:spacing w:after="0" w:line="240" w:lineRule="auto"/>
              <w:jc w:val="both"/>
              <w:rPr>
                <w:rFonts w:ascii="Arial Narrow" w:eastAsia="Times New Roman" w:hAnsi="Arial Narrow" w:cs="Calibri"/>
                <w:b/>
                <w:bCs/>
                <w:lang w:eastAsia="es-PE"/>
              </w:rPr>
            </w:pPr>
            <w:r w:rsidRPr="000B67D9">
              <w:rPr>
                <w:rFonts w:ascii="Arial Narrow" w:eastAsia="Times New Roman" w:hAnsi="Arial Narrow" w:cs="Calibri"/>
                <w:b/>
                <w:bCs/>
                <w:lang w:eastAsia="es-PE"/>
              </w:rPr>
              <w:t>Tasa Efectiva Anual Fija (TEA) (2)</w:t>
            </w:r>
          </w:p>
        </w:tc>
        <w:tc>
          <w:tcPr>
            <w:tcW w:w="7000" w:type="dxa"/>
            <w:tcBorders>
              <w:top w:val="nil"/>
              <w:left w:val="nil"/>
              <w:bottom w:val="single" w:sz="4" w:space="0" w:color="auto"/>
              <w:right w:val="single" w:sz="8" w:space="0" w:color="auto"/>
            </w:tcBorders>
            <w:shd w:val="clear" w:color="auto" w:fill="auto"/>
            <w:vAlign w:val="center"/>
            <w:hideMark/>
          </w:tcPr>
          <w:p w14:paraId="448EC639" w14:textId="77777777" w:rsidR="00055EA5" w:rsidRPr="000B67D9" w:rsidRDefault="00055EA5" w:rsidP="001820A2">
            <w:pPr>
              <w:spacing w:after="0" w:line="240" w:lineRule="auto"/>
              <w:jc w:val="center"/>
              <w:rPr>
                <w:rFonts w:ascii="Arial Narrow" w:eastAsia="Times New Roman" w:hAnsi="Arial Narrow" w:cs="Calibri"/>
                <w:b/>
                <w:bCs/>
                <w:lang w:val="pt-BR" w:eastAsia="es-PE"/>
              </w:rPr>
            </w:pPr>
            <w:r w:rsidRPr="000B67D9">
              <w:rPr>
                <w:rFonts w:ascii="Arial Narrow" w:eastAsia="Times New Roman" w:hAnsi="Arial Narrow" w:cs="Calibri"/>
                <w:b/>
                <w:bCs/>
                <w:lang w:val="pt-BR" w:eastAsia="es-PE"/>
              </w:rPr>
              <w:t>0.00%</w:t>
            </w:r>
          </w:p>
        </w:tc>
      </w:tr>
      <w:tr w:rsidR="00055EA5" w:rsidRPr="000B67D9" w14:paraId="4E9321B3" w14:textId="77777777" w:rsidTr="001820A2">
        <w:trPr>
          <w:trHeight w:val="35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1750FC27"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Saldo mínimo de equilibrio</w:t>
            </w:r>
          </w:p>
        </w:tc>
        <w:tc>
          <w:tcPr>
            <w:tcW w:w="7000" w:type="dxa"/>
            <w:tcBorders>
              <w:top w:val="nil"/>
              <w:left w:val="nil"/>
              <w:bottom w:val="single" w:sz="4" w:space="0" w:color="auto"/>
              <w:right w:val="single" w:sz="8" w:space="0" w:color="auto"/>
            </w:tcBorders>
            <w:shd w:val="clear" w:color="auto" w:fill="auto"/>
            <w:noWrap/>
            <w:vAlign w:val="center"/>
            <w:hideMark/>
          </w:tcPr>
          <w:p w14:paraId="18E61A7E"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S/ 0.00</w:t>
            </w:r>
          </w:p>
        </w:tc>
      </w:tr>
      <w:tr w:rsidR="00055EA5" w:rsidRPr="000B67D9" w14:paraId="42B0F794" w14:textId="77777777" w:rsidTr="001820A2">
        <w:trPr>
          <w:trHeight w:val="343"/>
        </w:trPr>
        <w:tc>
          <w:tcPr>
            <w:tcW w:w="8120" w:type="dxa"/>
            <w:tcBorders>
              <w:top w:val="nil"/>
              <w:left w:val="single" w:sz="8" w:space="0" w:color="auto"/>
              <w:bottom w:val="nil"/>
              <w:right w:val="single" w:sz="4" w:space="0" w:color="auto"/>
            </w:tcBorders>
            <w:shd w:val="clear" w:color="auto" w:fill="auto"/>
            <w:vAlign w:val="center"/>
            <w:hideMark/>
          </w:tcPr>
          <w:p w14:paraId="7D80A644"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Monto mínimo de apertura</w:t>
            </w:r>
          </w:p>
        </w:tc>
        <w:tc>
          <w:tcPr>
            <w:tcW w:w="7000" w:type="dxa"/>
            <w:tcBorders>
              <w:top w:val="nil"/>
              <w:left w:val="nil"/>
              <w:bottom w:val="nil"/>
              <w:right w:val="single" w:sz="8" w:space="0" w:color="auto"/>
            </w:tcBorders>
            <w:shd w:val="clear" w:color="auto" w:fill="auto"/>
            <w:noWrap/>
            <w:vAlign w:val="center"/>
            <w:hideMark/>
          </w:tcPr>
          <w:p w14:paraId="4B778187"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S/ 0.00</w:t>
            </w:r>
          </w:p>
        </w:tc>
      </w:tr>
      <w:tr w:rsidR="00055EA5" w:rsidRPr="000B67D9" w14:paraId="73DBC102" w14:textId="77777777" w:rsidTr="001820A2">
        <w:trPr>
          <w:trHeight w:val="351"/>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A16B2F3"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Número de Operaciones Libres de Costo</w:t>
            </w:r>
          </w:p>
        </w:tc>
      </w:tr>
      <w:tr w:rsidR="00055EA5" w:rsidRPr="000B67D9" w14:paraId="54C5B81F" w14:textId="77777777" w:rsidTr="001820A2">
        <w:trPr>
          <w:trHeight w:val="315"/>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5088546C" w14:textId="77777777" w:rsidR="00055EA5" w:rsidRPr="000B67D9" w:rsidRDefault="00055EA5" w:rsidP="001820A2">
            <w:pPr>
              <w:spacing w:after="0" w:line="240" w:lineRule="auto"/>
              <w:jc w:val="both"/>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Retiros y/o abonos por ventanilla (Red de Agencias) </w:t>
            </w:r>
          </w:p>
        </w:tc>
        <w:tc>
          <w:tcPr>
            <w:tcW w:w="7000" w:type="dxa"/>
            <w:tcBorders>
              <w:top w:val="nil"/>
              <w:left w:val="nil"/>
              <w:bottom w:val="single" w:sz="4" w:space="0" w:color="auto"/>
              <w:right w:val="single" w:sz="8" w:space="0" w:color="auto"/>
            </w:tcBorders>
            <w:shd w:val="clear" w:color="auto" w:fill="auto"/>
            <w:vAlign w:val="center"/>
            <w:hideMark/>
          </w:tcPr>
          <w:p w14:paraId="191BA641"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Ilimitado</w:t>
            </w:r>
          </w:p>
        </w:tc>
      </w:tr>
      <w:tr w:rsidR="00055EA5" w:rsidRPr="000B67D9" w14:paraId="5C8FCC31" w14:textId="77777777" w:rsidTr="001820A2">
        <w:trPr>
          <w:trHeight w:val="323"/>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4035530E" w14:textId="77777777" w:rsidR="00055EA5" w:rsidRPr="000B67D9" w:rsidRDefault="00055EA5" w:rsidP="001820A2">
            <w:pPr>
              <w:spacing w:after="0" w:line="240" w:lineRule="auto"/>
              <w:jc w:val="both"/>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Retiros en la Red de Cajeros Automáticos (Scotiabank) </w:t>
            </w:r>
          </w:p>
        </w:tc>
        <w:tc>
          <w:tcPr>
            <w:tcW w:w="7000" w:type="dxa"/>
            <w:tcBorders>
              <w:top w:val="nil"/>
              <w:left w:val="nil"/>
              <w:bottom w:val="single" w:sz="8" w:space="0" w:color="auto"/>
              <w:right w:val="single" w:sz="8" w:space="0" w:color="auto"/>
            </w:tcBorders>
            <w:shd w:val="clear" w:color="auto" w:fill="auto"/>
            <w:vAlign w:val="center"/>
            <w:hideMark/>
          </w:tcPr>
          <w:p w14:paraId="58C01919"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Ilimitado</w:t>
            </w:r>
          </w:p>
        </w:tc>
      </w:tr>
      <w:tr w:rsidR="00055EA5" w:rsidRPr="000B67D9" w14:paraId="7C3E72FF" w14:textId="77777777" w:rsidTr="001820A2">
        <w:trPr>
          <w:trHeight w:val="268"/>
        </w:trPr>
        <w:tc>
          <w:tcPr>
            <w:tcW w:w="1512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13995429"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COMISIONES</w:t>
            </w:r>
          </w:p>
        </w:tc>
      </w:tr>
      <w:tr w:rsidR="00055EA5" w:rsidRPr="000B67D9" w14:paraId="49EF2172" w14:textId="77777777" w:rsidTr="001820A2">
        <w:trPr>
          <w:trHeight w:val="325"/>
        </w:trPr>
        <w:tc>
          <w:tcPr>
            <w:tcW w:w="15120"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02CE9322"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CATEGORÍA: Operaciones en Cuenta</w:t>
            </w:r>
          </w:p>
        </w:tc>
      </w:tr>
      <w:tr w:rsidR="00055EA5" w:rsidRPr="000B67D9" w14:paraId="1B8619B3" w14:textId="77777777" w:rsidTr="001820A2">
        <w:trPr>
          <w:trHeight w:val="300"/>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5E2DEB1"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DENOMINACIÓN: Operaciones en otra localidad</w:t>
            </w:r>
          </w:p>
        </w:tc>
      </w:tr>
      <w:tr w:rsidR="00055EA5" w:rsidRPr="000B67D9" w14:paraId="31113F3B" w14:textId="77777777" w:rsidTr="001820A2">
        <w:trPr>
          <w:trHeight w:val="755"/>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0294A300"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Depósito </w:t>
            </w:r>
            <w:proofErr w:type="spellStart"/>
            <w:r w:rsidRPr="000B67D9">
              <w:rPr>
                <w:rFonts w:ascii="Arial Narrow" w:eastAsia="Times New Roman" w:hAnsi="Arial Narrow" w:cs="Calibri"/>
                <w:b/>
                <w:bCs/>
                <w:lang w:eastAsia="es-PE"/>
              </w:rPr>
              <w:t>Interplaza</w:t>
            </w:r>
            <w:proofErr w:type="spellEnd"/>
            <w:r w:rsidRPr="000B67D9">
              <w:rPr>
                <w:rFonts w:ascii="Arial Narrow" w:eastAsia="Times New Roman" w:hAnsi="Arial Narrow" w:cs="Calibri"/>
                <w:b/>
                <w:bCs/>
                <w:lang w:eastAsia="es-PE"/>
              </w:rPr>
              <w:t xml:space="preserve"> (3)</w:t>
            </w:r>
          </w:p>
        </w:tc>
        <w:tc>
          <w:tcPr>
            <w:tcW w:w="7000" w:type="dxa"/>
            <w:tcBorders>
              <w:top w:val="nil"/>
              <w:left w:val="nil"/>
              <w:bottom w:val="single" w:sz="4" w:space="0" w:color="auto"/>
              <w:right w:val="single" w:sz="8" w:space="0" w:color="auto"/>
            </w:tcBorders>
            <w:shd w:val="clear" w:color="auto" w:fill="auto"/>
            <w:vAlign w:val="center"/>
            <w:hideMark/>
          </w:tcPr>
          <w:p w14:paraId="1B3DE89B"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No aplica  </w:t>
            </w:r>
          </w:p>
        </w:tc>
      </w:tr>
      <w:tr w:rsidR="00055EA5" w:rsidRPr="000B67D9" w14:paraId="5C33C6A8" w14:textId="77777777" w:rsidTr="001820A2">
        <w:trPr>
          <w:trHeight w:val="782"/>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7DB37865"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Retiro </w:t>
            </w:r>
            <w:proofErr w:type="spellStart"/>
            <w:r w:rsidRPr="000B67D9">
              <w:rPr>
                <w:rFonts w:ascii="Arial Narrow" w:eastAsia="Times New Roman" w:hAnsi="Arial Narrow" w:cs="Calibri"/>
                <w:b/>
                <w:bCs/>
                <w:lang w:eastAsia="es-PE"/>
              </w:rPr>
              <w:t>Interplaza</w:t>
            </w:r>
            <w:proofErr w:type="spellEnd"/>
            <w:r w:rsidRPr="000B67D9">
              <w:rPr>
                <w:rFonts w:ascii="Arial Narrow" w:eastAsia="Times New Roman" w:hAnsi="Arial Narrow" w:cs="Calibri"/>
                <w:b/>
                <w:bCs/>
                <w:lang w:eastAsia="es-PE"/>
              </w:rPr>
              <w:t xml:space="preserve"> (3)</w:t>
            </w:r>
          </w:p>
        </w:tc>
        <w:tc>
          <w:tcPr>
            <w:tcW w:w="7000" w:type="dxa"/>
            <w:tcBorders>
              <w:top w:val="nil"/>
              <w:left w:val="nil"/>
              <w:bottom w:val="single" w:sz="8" w:space="0" w:color="auto"/>
              <w:right w:val="single" w:sz="8" w:space="0" w:color="auto"/>
            </w:tcBorders>
            <w:shd w:val="clear" w:color="auto" w:fill="auto"/>
            <w:vAlign w:val="center"/>
            <w:hideMark/>
          </w:tcPr>
          <w:p w14:paraId="691EC335"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Sin costo  </w:t>
            </w:r>
          </w:p>
        </w:tc>
      </w:tr>
      <w:tr w:rsidR="00055EA5" w:rsidRPr="000B67D9" w14:paraId="772C645C" w14:textId="77777777" w:rsidTr="001820A2">
        <w:trPr>
          <w:trHeight w:val="268"/>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9590548"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CATEGORÍA: Uso de Canales</w:t>
            </w:r>
          </w:p>
        </w:tc>
      </w:tr>
      <w:tr w:rsidR="00055EA5" w:rsidRPr="000B67D9" w14:paraId="5E4DD85C" w14:textId="77777777" w:rsidTr="001820A2">
        <w:trPr>
          <w:trHeight w:val="268"/>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D130904"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DENOMINACIÓN: Operación en Ventanilla</w:t>
            </w:r>
          </w:p>
        </w:tc>
      </w:tr>
      <w:tr w:rsidR="00055EA5" w:rsidRPr="000B67D9" w14:paraId="4159EDE4" w14:textId="77777777" w:rsidTr="001820A2">
        <w:trPr>
          <w:trHeight w:val="36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6B722FA4"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Consulta de Saldos</w:t>
            </w:r>
          </w:p>
        </w:tc>
        <w:tc>
          <w:tcPr>
            <w:tcW w:w="7000" w:type="dxa"/>
            <w:tcBorders>
              <w:top w:val="nil"/>
              <w:left w:val="nil"/>
              <w:bottom w:val="single" w:sz="4" w:space="0" w:color="auto"/>
              <w:right w:val="single" w:sz="8" w:space="0" w:color="auto"/>
            </w:tcBorders>
            <w:shd w:val="clear" w:color="auto" w:fill="auto"/>
            <w:noWrap/>
            <w:vAlign w:val="center"/>
            <w:hideMark/>
          </w:tcPr>
          <w:p w14:paraId="169A87D7"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No aplica</w:t>
            </w:r>
          </w:p>
        </w:tc>
      </w:tr>
      <w:tr w:rsidR="00055EA5" w:rsidRPr="000B67D9" w14:paraId="1FCE1CFE" w14:textId="77777777" w:rsidTr="001820A2">
        <w:trPr>
          <w:trHeight w:val="36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320812CE"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Consulta de Movimientos </w:t>
            </w:r>
          </w:p>
        </w:tc>
        <w:tc>
          <w:tcPr>
            <w:tcW w:w="7000" w:type="dxa"/>
            <w:tcBorders>
              <w:top w:val="nil"/>
              <w:left w:val="nil"/>
              <w:bottom w:val="single" w:sz="4" w:space="0" w:color="auto"/>
              <w:right w:val="single" w:sz="8" w:space="0" w:color="auto"/>
            </w:tcBorders>
            <w:shd w:val="clear" w:color="auto" w:fill="auto"/>
            <w:noWrap/>
            <w:vAlign w:val="center"/>
            <w:hideMark/>
          </w:tcPr>
          <w:p w14:paraId="7AC62D8B"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No aplica</w:t>
            </w:r>
          </w:p>
        </w:tc>
      </w:tr>
      <w:tr w:rsidR="00055EA5" w:rsidRPr="000B67D9" w14:paraId="37F71AE1" w14:textId="77777777" w:rsidTr="001820A2">
        <w:trPr>
          <w:trHeight w:val="360"/>
        </w:trPr>
        <w:tc>
          <w:tcPr>
            <w:tcW w:w="8120" w:type="dxa"/>
            <w:tcBorders>
              <w:top w:val="nil"/>
              <w:left w:val="single" w:sz="8" w:space="0" w:color="auto"/>
              <w:bottom w:val="single" w:sz="4" w:space="0" w:color="auto"/>
              <w:right w:val="single" w:sz="4" w:space="0" w:color="auto"/>
            </w:tcBorders>
            <w:shd w:val="clear" w:color="auto" w:fill="auto"/>
            <w:noWrap/>
            <w:vAlign w:val="center"/>
            <w:hideMark/>
          </w:tcPr>
          <w:p w14:paraId="413AFA8A"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Exceso de operaciones libres en ventanilla (Retiros y/o Abonos)</w:t>
            </w:r>
          </w:p>
        </w:tc>
        <w:tc>
          <w:tcPr>
            <w:tcW w:w="7000" w:type="dxa"/>
            <w:tcBorders>
              <w:top w:val="nil"/>
              <w:left w:val="nil"/>
              <w:bottom w:val="single" w:sz="4" w:space="0" w:color="auto"/>
              <w:right w:val="single" w:sz="8" w:space="0" w:color="auto"/>
            </w:tcBorders>
            <w:shd w:val="clear" w:color="auto" w:fill="auto"/>
            <w:noWrap/>
            <w:vAlign w:val="center"/>
            <w:hideMark/>
          </w:tcPr>
          <w:p w14:paraId="0EAA57CD"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Sin costo</w:t>
            </w:r>
          </w:p>
        </w:tc>
      </w:tr>
      <w:tr w:rsidR="00055EA5" w:rsidRPr="000B67D9" w14:paraId="77028C47" w14:textId="77777777" w:rsidTr="001820A2">
        <w:trPr>
          <w:trHeight w:val="360"/>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1DCF078D"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Proceso de Carta de Instrucción (4)</w:t>
            </w:r>
          </w:p>
        </w:tc>
        <w:tc>
          <w:tcPr>
            <w:tcW w:w="7000" w:type="dxa"/>
            <w:tcBorders>
              <w:top w:val="nil"/>
              <w:left w:val="nil"/>
              <w:bottom w:val="single" w:sz="8" w:space="0" w:color="auto"/>
              <w:right w:val="single" w:sz="8" w:space="0" w:color="auto"/>
            </w:tcBorders>
            <w:shd w:val="clear" w:color="auto" w:fill="auto"/>
            <w:noWrap/>
            <w:vAlign w:val="center"/>
            <w:hideMark/>
          </w:tcPr>
          <w:p w14:paraId="2A616F96"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Sin costo</w:t>
            </w:r>
          </w:p>
        </w:tc>
      </w:tr>
      <w:tr w:rsidR="00055EA5" w:rsidRPr="000B67D9" w14:paraId="3C935D28" w14:textId="77777777" w:rsidTr="001820A2">
        <w:trPr>
          <w:trHeight w:val="295"/>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7CC883D" w14:textId="77777777"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CATEGORÍA: Tarjeta de Débito adicionales a solicitud (5)</w:t>
            </w:r>
          </w:p>
        </w:tc>
      </w:tr>
      <w:tr w:rsidR="00055EA5" w:rsidRPr="000B67D9" w14:paraId="7D68D3C6" w14:textId="77777777" w:rsidTr="001820A2">
        <w:trPr>
          <w:trHeight w:val="360"/>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C69AEEE"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DENOMINACIÓN: Reposición de Tarjeta </w:t>
            </w:r>
          </w:p>
        </w:tc>
      </w:tr>
      <w:tr w:rsidR="00055EA5" w:rsidRPr="000B67D9" w14:paraId="13DFD5CF" w14:textId="77777777" w:rsidTr="001820A2">
        <w:trPr>
          <w:trHeight w:val="360"/>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399141C0" w14:textId="77777777" w:rsidR="00055EA5" w:rsidRPr="000B67D9" w:rsidRDefault="00055EA5" w:rsidP="001820A2">
            <w:pPr>
              <w:spacing w:after="0" w:line="240" w:lineRule="auto"/>
              <w:rPr>
                <w:rFonts w:ascii="Arial Narrow" w:eastAsia="Times New Roman" w:hAnsi="Arial Narrow" w:cs="Calibri"/>
                <w:b/>
                <w:bCs/>
                <w:lang w:eastAsia="es-PE"/>
              </w:rPr>
            </w:pPr>
            <w:r w:rsidRPr="000B67D9">
              <w:rPr>
                <w:rFonts w:ascii="Arial Narrow" w:eastAsia="Times New Roman" w:hAnsi="Arial Narrow" w:cs="Calibri"/>
                <w:b/>
                <w:bCs/>
                <w:lang w:eastAsia="es-PE"/>
              </w:rPr>
              <w:t>Duplicado de Tarjeta de Débito (6)</w:t>
            </w:r>
          </w:p>
        </w:tc>
        <w:tc>
          <w:tcPr>
            <w:tcW w:w="7000" w:type="dxa"/>
            <w:tcBorders>
              <w:top w:val="nil"/>
              <w:left w:val="nil"/>
              <w:bottom w:val="single" w:sz="8" w:space="0" w:color="auto"/>
              <w:right w:val="single" w:sz="8" w:space="0" w:color="auto"/>
            </w:tcBorders>
            <w:shd w:val="clear" w:color="auto" w:fill="auto"/>
            <w:noWrap/>
            <w:vAlign w:val="center"/>
            <w:hideMark/>
          </w:tcPr>
          <w:p w14:paraId="14942F1B" w14:textId="064343A5" w:rsidR="00055EA5" w:rsidRPr="000B67D9" w:rsidRDefault="00055EA5" w:rsidP="001820A2">
            <w:pPr>
              <w:spacing w:after="0" w:line="240" w:lineRule="auto"/>
              <w:jc w:val="center"/>
              <w:rPr>
                <w:rFonts w:ascii="Arial Narrow" w:eastAsia="Times New Roman" w:hAnsi="Arial Narrow" w:cs="Calibri"/>
                <w:b/>
                <w:bCs/>
                <w:lang w:eastAsia="es-PE"/>
              </w:rPr>
            </w:pPr>
            <w:r w:rsidRPr="000B67D9">
              <w:rPr>
                <w:rFonts w:ascii="Arial Narrow" w:eastAsia="Times New Roman" w:hAnsi="Arial Narrow" w:cs="Calibri"/>
                <w:b/>
                <w:bCs/>
                <w:lang w:eastAsia="es-PE"/>
              </w:rPr>
              <w:t xml:space="preserve">S/ </w:t>
            </w:r>
            <w:r w:rsidR="00FB3774" w:rsidRPr="000B67D9">
              <w:rPr>
                <w:rFonts w:ascii="Arial Narrow" w:eastAsia="Times New Roman" w:hAnsi="Arial Narrow" w:cs="Calibri"/>
                <w:b/>
                <w:bCs/>
                <w:lang w:eastAsia="es-PE"/>
              </w:rPr>
              <w:t>20.00</w:t>
            </w:r>
          </w:p>
        </w:tc>
      </w:tr>
    </w:tbl>
    <w:p w14:paraId="7607E0A0" w14:textId="77777777" w:rsidR="00C111AC" w:rsidRPr="000B67D9" w:rsidRDefault="00C111AC" w:rsidP="00055EA5">
      <w:pPr>
        <w:pStyle w:val="ListParagraph"/>
        <w:tabs>
          <w:tab w:val="left" w:pos="270"/>
        </w:tabs>
        <w:spacing w:after="0" w:line="240" w:lineRule="auto"/>
        <w:ind w:left="0"/>
        <w:jc w:val="both"/>
        <w:rPr>
          <w:rFonts w:ascii="Arial Narrow" w:hAnsi="Arial Narrow"/>
        </w:rPr>
      </w:pPr>
    </w:p>
    <w:p w14:paraId="0F644F29" w14:textId="77777777" w:rsidR="00C111AC" w:rsidRPr="000B67D9" w:rsidRDefault="00C111AC" w:rsidP="00055EA5">
      <w:pPr>
        <w:pStyle w:val="ListParagraph"/>
        <w:tabs>
          <w:tab w:val="left" w:pos="270"/>
        </w:tabs>
        <w:spacing w:after="0" w:line="240" w:lineRule="auto"/>
        <w:ind w:left="0"/>
        <w:jc w:val="both"/>
        <w:rPr>
          <w:rFonts w:ascii="Arial Narrow" w:hAnsi="Arial Narrow"/>
        </w:rPr>
      </w:pPr>
    </w:p>
    <w:p w14:paraId="55D00260" w14:textId="77777777" w:rsidR="00C111AC" w:rsidRPr="000B67D9" w:rsidRDefault="00C111AC" w:rsidP="00055EA5">
      <w:pPr>
        <w:pStyle w:val="ListParagraph"/>
        <w:tabs>
          <w:tab w:val="left" w:pos="270"/>
        </w:tabs>
        <w:spacing w:after="0" w:line="240" w:lineRule="auto"/>
        <w:ind w:left="0"/>
        <w:jc w:val="both"/>
        <w:rPr>
          <w:rFonts w:ascii="Arial Narrow" w:hAnsi="Arial Narrow"/>
        </w:rPr>
      </w:pPr>
    </w:p>
    <w:p w14:paraId="39436D50" w14:textId="163DA42D" w:rsidR="00055EA5" w:rsidRPr="000B67D9" w:rsidRDefault="00055EA5" w:rsidP="00055EA5">
      <w:pPr>
        <w:pStyle w:val="ListParagraph"/>
        <w:tabs>
          <w:tab w:val="left" w:pos="270"/>
        </w:tabs>
        <w:spacing w:after="0" w:line="240" w:lineRule="auto"/>
        <w:ind w:left="0"/>
        <w:jc w:val="both"/>
        <w:rPr>
          <w:rFonts w:ascii="Arial Narrow" w:hAnsi="Arial Narrow"/>
          <w:color w:val="000000" w:themeColor="text1"/>
        </w:rPr>
      </w:pPr>
      <w:r w:rsidRPr="000B67D9">
        <w:rPr>
          <w:rFonts w:ascii="Arial Narrow" w:hAnsi="Arial Narrow"/>
        </w:rPr>
        <w:t xml:space="preserve">(1) Cuenta Intangible, constituida en virtud del Decreto de Urgencia 056 -2020, solo podrá ser utilizada para disponer de los fondos liberados por AFP y abonos del gobierno. Sobre esta cuenta NO aplican cobros automáticos de deudas, ni aplica ITF. El cliente podrá disponer de su dinero a través de transferencias entre cuentas por Crediscotia en línea www.crediscotia.com.pe . Asimismo, podrá retirar por cajeros </w:t>
      </w:r>
      <w:r w:rsidRPr="000B67D9">
        <w:rPr>
          <w:rFonts w:ascii="Arial Narrow" w:hAnsi="Arial Narrow"/>
          <w:color w:val="000000" w:themeColor="text1"/>
        </w:rPr>
        <w:t xml:space="preserve">automáticos de la red Scotiabank, agencias Scotiabank y </w:t>
      </w:r>
      <w:proofErr w:type="spellStart"/>
      <w:r w:rsidRPr="000B67D9">
        <w:rPr>
          <w:rFonts w:ascii="Arial Narrow" w:hAnsi="Arial Narrow"/>
          <w:color w:val="000000" w:themeColor="text1"/>
        </w:rPr>
        <w:t>Crediscotia</w:t>
      </w:r>
      <w:proofErr w:type="spellEnd"/>
      <w:r w:rsidRPr="000B67D9">
        <w:rPr>
          <w:rFonts w:ascii="Arial Narrow" w:hAnsi="Arial Narrow"/>
          <w:color w:val="000000" w:themeColor="text1"/>
        </w:rPr>
        <w:t xml:space="preserve">, y Agentes </w:t>
      </w:r>
      <w:proofErr w:type="spellStart"/>
      <w:r w:rsidRPr="000B67D9">
        <w:rPr>
          <w:rFonts w:ascii="Arial Narrow" w:hAnsi="Arial Narrow"/>
          <w:color w:val="000000" w:themeColor="text1"/>
        </w:rPr>
        <w:t>Kasnet</w:t>
      </w:r>
      <w:proofErr w:type="spellEnd"/>
      <w:r w:rsidRPr="000B67D9">
        <w:rPr>
          <w:rFonts w:ascii="Arial Narrow" w:hAnsi="Arial Narrow"/>
          <w:color w:val="000000" w:themeColor="text1"/>
        </w:rPr>
        <w:t xml:space="preserve">. Esta cuenta tendrá una vigencia máxima de 1 año (en caso de mantener saldo) desde el momento del abono. </w:t>
      </w:r>
    </w:p>
    <w:p w14:paraId="6AC57345"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color w:val="000000" w:themeColor="text1"/>
        </w:rPr>
        <w:t xml:space="preserve">(2) La Tasa de interés Efectiva Anual (TEA) es igual a la Tasa de Rendimiento Efectiva Anual (TREA) y se rige por un año de trescientos sesenta (360) días, cumplido el plazo señalado y la Cuenta Intangible mantenga saldo, será migrada a una Cuenta Imparable, a la que se le aplicarán las tarifas y condiciones de dicha cuenta. </w:t>
      </w:r>
      <w:proofErr w:type="spellStart"/>
      <w:r w:rsidRPr="000B67D9">
        <w:rPr>
          <w:rFonts w:ascii="Arial Narrow" w:hAnsi="Arial Narrow"/>
          <w:color w:val="000000" w:themeColor="text1"/>
        </w:rPr>
        <w:t>Verificalo</w:t>
      </w:r>
      <w:proofErr w:type="spellEnd"/>
      <w:r w:rsidRPr="000B67D9">
        <w:rPr>
          <w:rFonts w:ascii="Arial Narrow" w:hAnsi="Arial Narrow"/>
          <w:color w:val="000000" w:themeColor="text1"/>
        </w:rPr>
        <w:t xml:space="preserve"> en </w:t>
      </w:r>
      <w:proofErr w:type="spellStart"/>
      <w:r w:rsidRPr="000B67D9">
        <w:rPr>
          <w:rFonts w:ascii="Arial Narrow" w:hAnsi="Arial Narrow"/>
          <w:color w:val="000000" w:themeColor="text1"/>
        </w:rPr>
        <w:t>Crediscotia</w:t>
      </w:r>
      <w:proofErr w:type="spellEnd"/>
      <w:r w:rsidRPr="000B67D9">
        <w:rPr>
          <w:rFonts w:ascii="Arial Narrow" w:hAnsi="Arial Narrow"/>
          <w:color w:val="000000" w:themeColor="text1"/>
        </w:rPr>
        <w:t xml:space="preserve"> en Linea en </w:t>
      </w:r>
      <w:hyperlink r:id="rId15" w:history="1">
        <w:r w:rsidRPr="000B67D9">
          <w:rPr>
            <w:rStyle w:val="Hyperlink"/>
            <w:rFonts w:ascii="Arial Narrow" w:hAnsi="Arial Narrow"/>
          </w:rPr>
          <w:t>www.crediscotia.com.pe</w:t>
        </w:r>
      </w:hyperlink>
      <w:r w:rsidRPr="000B67D9">
        <w:rPr>
          <w:rFonts w:ascii="Arial Narrow" w:hAnsi="Arial Narrow"/>
        </w:rPr>
        <w:t xml:space="preserve"> Fecha de corte para el cálculo de intereses: el último día de cada mes. Fecha de abono de intereses: último día de cada mes (Si el último día del mes fuera Domingo se calculará al día anterior). </w:t>
      </w:r>
    </w:p>
    <w:p w14:paraId="33E41CC5"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(3) El término </w:t>
      </w:r>
      <w:proofErr w:type="spellStart"/>
      <w:r w:rsidRPr="000B67D9">
        <w:rPr>
          <w:rFonts w:ascii="Arial Narrow" w:hAnsi="Arial Narrow"/>
        </w:rPr>
        <w:t>interplaza</w:t>
      </w:r>
      <w:proofErr w:type="spellEnd"/>
      <w:r w:rsidRPr="000B67D9">
        <w:rPr>
          <w:rFonts w:ascii="Arial Narrow" w:hAnsi="Arial Narrow"/>
        </w:rPr>
        <w:t xml:space="preserve"> se refiere a las operaciones realizadas entre cuentas pertenecientes a agencias de una plaza distinta a la plaza donde se realizó la apertura. </w:t>
      </w:r>
    </w:p>
    <w:p w14:paraId="51309166"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(4) Se podrán realizar transferencias a cuentas propias o a terceros, </w:t>
      </w:r>
      <w:proofErr w:type="spellStart"/>
      <w:r w:rsidRPr="000B67D9">
        <w:rPr>
          <w:rFonts w:ascii="Arial Narrow" w:hAnsi="Arial Narrow"/>
        </w:rPr>
        <w:t>intermoneda</w:t>
      </w:r>
      <w:proofErr w:type="spellEnd"/>
      <w:r w:rsidRPr="000B67D9">
        <w:rPr>
          <w:rFonts w:ascii="Arial Narrow" w:hAnsi="Arial Narrow"/>
        </w:rPr>
        <w:t xml:space="preserve"> (soles o dólares). </w:t>
      </w:r>
    </w:p>
    <w:p w14:paraId="4F46DC1B"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(5) Cuando recibas tu tarjeta de débito fírmala antes de utilizarla. Para mayor seguridad cambia tu clave cada tres meses en los cajeros automáticos Scotiabank. Asimismo, si deseas realizar pagos y transferencias puedes realizarlo a través de CrediScotia en línea www.crediscotia.com.pe solicitando tu CLAVE DIGITAL, una clave dinámica que cambia constantemente. Consulta las condiciones de este servicio en la red de agencias o en www.crediscotia.com.pe. </w:t>
      </w:r>
    </w:p>
    <w:p w14:paraId="6C76E0C8"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(6) Duplicado, reposición o reimpresión en caso de robo, pérdida o sustracción. En caso de emergencia: Si has sido víctima de fraude, bloquea tu tarjeta inmediatamente llamando a Servicio de Atención al Cliente al 211-9000 (Lima) o al 0-801-1-9000 (desde teléfono fijo de provincia), en ambos casos marca la opción 1 y solicita una nueva tarjeta en nuestras agencias CrediScotia. Si el Cajero Automático (Scotiabank) retiene tu tarjeta, bloquéala inmediatamente.</w:t>
      </w:r>
    </w:p>
    <w:p w14:paraId="279A44DB"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p>
    <w:p w14:paraId="6450441F"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Las consultas de saldos y movimientos por los siguientes canales son libres de costo: Banca telefónica, Terminal de Pagos y Consultas, Banca Internet - CrediScotia en Línea.</w:t>
      </w:r>
    </w:p>
    <w:p w14:paraId="76524CCC"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El cálculo de intereses se realiza de forma diaria (capitalización diaria) dependiendo del saldo de la cuenta al final del día.</w:t>
      </w:r>
    </w:p>
    <w:p w14:paraId="4E5931C2"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Tipo de Cambio Referencial: Dólar S/ 3.30. Se deberá tener en cuenta el tipo de cambio vigente del día que se efectúe la operación.</w:t>
      </w:r>
    </w:p>
    <w:p w14:paraId="4ED6BEDC"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Depósito respaldado por el Fondo de Seguro de Depósitos. Mayor información en: </w:t>
      </w:r>
      <w:hyperlink r:id="rId16" w:history="1">
        <w:r w:rsidRPr="000B67D9">
          <w:rPr>
            <w:rStyle w:val="Hyperlink"/>
            <w:rFonts w:ascii="Arial Narrow" w:hAnsi="Arial Narrow"/>
          </w:rPr>
          <w:t>www.fsd.org.pe</w:t>
        </w:r>
      </w:hyperlink>
    </w:p>
    <w:p w14:paraId="1F64E088"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En caso de fallecimiento del titular, todo familiar tiene la obligación de comunicar a la Financiera el fallecimiento </w:t>
      </w:r>
      <w:proofErr w:type="gramStart"/>
      <w:r w:rsidRPr="000B67D9">
        <w:rPr>
          <w:rFonts w:ascii="Arial Narrow" w:hAnsi="Arial Narrow"/>
        </w:rPr>
        <w:t>del mismo</w:t>
      </w:r>
      <w:proofErr w:type="gramEnd"/>
      <w:r w:rsidRPr="000B67D9">
        <w:rPr>
          <w:rFonts w:ascii="Arial Narrow" w:hAnsi="Arial Narrow"/>
        </w:rPr>
        <w:t>,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7C067661"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De no encontrarse conforme con las condiciones contractuales, EL CLIENTE podrá solicitar unilateralmente la resolución del contrato suscrito ingresando una comunicación por escrito en la red de Agencias de LA FINANCIERA a nivel nacional.</w:t>
      </w:r>
    </w:p>
    <w:p w14:paraId="1EF85130" w14:textId="4498944D"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En el caso de reclamos por las operaciones o servicios realizados, los pueden presentar en cualquier agencia de la FINANCIERA a nivel nacional o llamando a la Banca Telefónica al 211-9000 o al 0-801-1-9000 (provincia). Adicionalmente al reclamo que pueda presentar ante LA FINANCIERA, </w:t>
      </w:r>
      <w:r w:rsidR="007B5667" w:rsidRPr="000B67D9">
        <w:rPr>
          <w:rFonts w:ascii="Arial Narrow" w:hAnsi="Arial Narrow"/>
        </w:rPr>
        <w:t xml:space="preserve">en caso </w:t>
      </w:r>
      <w:r w:rsidRPr="000B67D9">
        <w:rPr>
          <w:rFonts w:ascii="Arial Narrow" w:hAnsi="Arial Narrow"/>
        </w:rPr>
        <w:t xml:space="preserve">El CLIENTE </w:t>
      </w:r>
      <w:r w:rsidR="007B5667" w:rsidRPr="000B67D9">
        <w:rPr>
          <w:rFonts w:ascii="Arial Narrow" w:hAnsi="Arial Narrow"/>
        </w:rPr>
        <w:t xml:space="preserve">no esté satisfecho con la respuesta brindada </w:t>
      </w:r>
      <w:r w:rsidRPr="000B67D9">
        <w:rPr>
          <w:rFonts w:ascii="Arial Narrow" w:hAnsi="Arial Narrow"/>
        </w:rPr>
        <w:t>podrá acudir también a otras instancias con la finalidad de presentar sus reclamos, tales como</w:t>
      </w:r>
      <w:r w:rsidR="007B5667" w:rsidRPr="000B67D9">
        <w:rPr>
          <w:rFonts w:ascii="Arial Narrow" w:hAnsi="Arial Narrow"/>
        </w:rPr>
        <w:t xml:space="preserve"> el Defensor del Cliente Financiero (DCF) ingresando al portal </w:t>
      </w:r>
      <w:hyperlink r:id="rId17" w:history="1">
        <w:r w:rsidR="007B5667" w:rsidRPr="000B67D9">
          <w:rPr>
            <w:rStyle w:val="Hyperlink"/>
            <w:rFonts w:ascii="Arial Narrow" w:hAnsi="Arial Narrow"/>
            <w:color w:val="auto"/>
          </w:rPr>
          <w:t>www.dcf.pe</w:t>
        </w:r>
      </w:hyperlink>
      <w:r w:rsidR="007B5667" w:rsidRPr="000B67D9">
        <w:rPr>
          <w:rFonts w:ascii="Arial Narrow" w:hAnsi="Arial Narrow"/>
        </w:rPr>
        <w:t xml:space="preserve"> en la opción “ingresa tu reclamo”; también tiene disponible</w:t>
      </w:r>
      <w:r w:rsidRPr="000B67D9">
        <w:rPr>
          <w:rFonts w:ascii="Arial Narrow" w:hAnsi="Arial Narrow"/>
        </w:rPr>
        <w:t xml:space="preserve"> la Superintendencia de Banca, Seguros y AFP, INDECOPI, entre otros.</w:t>
      </w:r>
    </w:p>
    <w:p w14:paraId="374F7248"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 xml:space="preserve">Las partes acuerdan que las tasas de interés, comisiones y gastos podrán ser modificados por LA FINANCIERA durante la vigencia de LA CUENTA, de acuerdo a las condiciones establecidas en el contrato respectivo y normatividad vigente. La permanencia o continuación en el uso de los servicios por parte de EL CLIENTE significarán su total aceptación a las referidas modificaciones, por lo que, de no estar conforme con ellas, EL CLIENTE deberá, manifestarlo por escrito dentro del plazo señalado en la comunicación y/o tomado conocimiento de </w:t>
      </w:r>
      <w:proofErr w:type="gramStart"/>
      <w:r w:rsidRPr="000B67D9">
        <w:rPr>
          <w:rFonts w:ascii="Arial Narrow" w:hAnsi="Arial Narrow"/>
        </w:rPr>
        <w:t>las mismas</w:t>
      </w:r>
      <w:proofErr w:type="gramEnd"/>
      <w:r w:rsidRPr="000B67D9">
        <w:rPr>
          <w:rFonts w:ascii="Arial Narrow" w:hAnsi="Arial Narrow"/>
        </w:rPr>
        <w:t>, cesando en ese caso el servicio no aceptado, con el consiguiente retiro de lo depositado y de ser el caso, los demás pasivos que EL CLIENTE mantenga frente a LA FINANCIERA.</w:t>
      </w:r>
    </w:p>
    <w:p w14:paraId="4CAB2918" w14:textId="34AB9C60" w:rsidR="00FB3774" w:rsidRPr="000B67D9" w:rsidRDefault="00FB3774" w:rsidP="00FB3774">
      <w:pPr>
        <w:pStyle w:val="ListParagraph"/>
        <w:tabs>
          <w:tab w:val="left" w:pos="270"/>
        </w:tabs>
        <w:spacing w:after="0" w:line="240" w:lineRule="auto"/>
        <w:ind w:left="0"/>
        <w:jc w:val="both"/>
        <w:rPr>
          <w:rFonts w:ascii="Arial Narrow" w:hAnsi="Arial Narrow"/>
          <w:sz w:val="8"/>
        </w:rPr>
      </w:pPr>
      <w:r w:rsidRPr="000B67D9">
        <w:rPr>
          <w:rFonts w:ascii="Arial Narrow" w:hAnsi="Arial Narrow"/>
        </w:rPr>
        <w:t xml:space="preserve">El CLIENTE declara haber recibido la presente Cartilla de Información y el Contrato de Cuenta de Ahorros y Servicios Financieros aprobado por Resolución SBS </w:t>
      </w:r>
      <w:proofErr w:type="spellStart"/>
      <w:r w:rsidRPr="000B67D9">
        <w:rPr>
          <w:rFonts w:ascii="Arial Narrow" w:hAnsi="Arial Narrow"/>
        </w:rPr>
        <w:t>N°</w:t>
      </w:r>
      <w:proofErr w:type="spellEnd"/>
      <w:r w:rsidRPr="000B67D9">
        <w:rPr>
          <w:rFonts w:ascii="Arial Narrow" w:hAnsi="Arial Narrow"/>
        </w:rPr>
        <w:t xml:space="preserve"> </w:t>
      </w:r>
      <w:r w:rsidR="006C75AC" w:rsidRPr="000B67D9">
        <w:rPr>
          <w:rFonts w:ascii="Arial Narrow" w:hAnsi="Arial Narrow"/>
        </w:rPr>
        <w:t xml:space="preserve">- </w:t>
      </w:r>
      <w:r w:rsidR="007B5667" w:rsidRPr="000B67D9">
        <w:rPr>
          <w:rFonts w:ascii="Arial Narrow" w:hAnsi="Arial Narrow"/>
        </w:rPr>
        <w:t>03591</w:t>
      </w:r>
      <w:r w:rsidR="006C75AC" w:rsidRPr="000B67D9">
        <w:rPr>
          <w:rFonts w:ascii="Arial Narrow" w:hAnsi="Arial Narrow"/>
        </w:rPr>
        <w:t>-2023</w:t>
      </w:r>
      <w:r w:rsidR="00276E11" w:rsidRPr="000B67D9">
        <w:rPr>
          <w:rFonts w:ascii="Arial Narrow" w:hAnsi="Arial Narrow"/>
        </w:rPr>
        <w:t xml:space="preserve"> y Oficio </w:t>
      </w:r>
      <w:proofErr w:type="spellStart"/>
      <w:r w:rsidR="00276E11" w:rsidRPr="000B67D9">
        <w:rPr>
          <w:rFonts w:ascii="Arial Narrow" w:hAnsi="Arial Narrow"/>
        </w:rPr>
        <w:t>N°</w:t>
      </w:r>
      <w:proofErr w:type="spellEnd"/>
      <w:r w:rsidR="00276E11" w:rsidRPr="000B67D9">
        <w:rPr>
          <w:rFonts w:ascii="Arial Narrow" w:hAnsi="Arial Narrow"/>
        </w:rPr>
        <w:t xml:space="preserve"> 26746-2024-SBS</w:t>
      </w:r>
      <w:r w:rsidRPr="000B67D9">
        <w:rPr>
          <w:rFonts w:ascii="Arial Narrow" w:hAnsi="Arial Narrow"/>
        </w:rPr>
        <w:t>, para su lectura previa y que la Financiera ha absuelto todas sus preguntas, suscribiendo el presente documento en señal de conformidad y con absoluto conocimiento de sus alcances en cuanto a derechos, obligaciones y responsabilidades contenidas.</w:t>
      </w:r>
    </w:p>
    <w:p w14:paraId="18FE505F"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p>
    <w:p w14:paraId="6F5DFCD7"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De acuerdo a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03B9A405"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p>
    <w:p w14:paraId="03D5F41D" w14:textId="77777777" w:rsidR="00055EA5" w:rsidRPr="000B67D9" w:rsidRDefault="00055EA5" w:rsidP="00055EA5">
      <w:pPr>
        <w:pStyle w:val="ListParagraph"/>
        <w:tabs>
          <w:tab w:val="left" w:pos="270"/>
        </w:tabs>
        <w:spacing w:after="0" w:line="240" w:lineRule="auto"/>
        <w:ind w:left="0"/>
        <w:jc w:val="both"/>
        <w:rPr>
          <w:rFonts w:ascii="Arial Narrow" w:hAnsi="Arial Narrow"/>
        </w:rPr>
      </w:pPr>
      <w:r w:rsidRPr="000B67D9">
        <w:rPr>
          <w:rFonts w:ascii="Arial Narrow" w:hAnsi="Arial Narrow"/>
        </w:rPr>
        <w:t>Todas las condiciones se refieren al tarifario a la fecha en que se emite la presente Cartilla de Información. Las transacciones antes señaladas estarán afectas a los tributos de acuerdo a disposiciones legales vigentes. En lo que respecta al ITF, la tasa actual es de 0.005%.</w:t>
      </w:r>
    </w:p>
    <w:p w14:paraId="4202BB07" w14:textId="77777777" w:rsidR="00055EA5" w:rsidRPr="000B67D9" w:rsidRDefault="00055EA5" w:rsidP="00055EA5">
      <w:pPr>
        <w:spacing w:after="0" w:line="240" w:lineRule="auto"/>
        <w:jc w:val="right"/>
        <w:rPr>
          <w:rFonts w:ascii="Arial Narrow" w:eastAsia="Times New Roman" w:hAnsi="Arial Narrow" w:cs="Calibri"/>
          <w:lang w:eastAsia="es-PE"/>
        </w:rPr>
      </w:pPr>
      <w:r w:rsidRPr="000B67D9">
        <w:rPr>
          <w:noProof/>
          <w:lang w:eastAsia="es-PE"/>
        </w:rPr>
        <mc:AlternateContent>
          <mc:Choice Requires="wps">
            <w:drawing>
              <wp:anchor distT="0" distB="0" distL="114300" distR="114300" simplePos="0" relativeHeight="251666432" behindDoc="0" locked="0" layoutInCell="1" allowOverlap="1" wp14:anchorId="4AFF7FF4" wp14:editId="46DC99C5">
                <wp:simplePos x="0" y="0"/>
                <wp:positionH relativeFrom="column">
                  <wp:posOffset>6844665</wp:posOffset>
                </wp:positionH>
                <wp:positionV relativeFrom="paragraph">
                  <wp:posOffset>117475</wp:posOffset>
                </wp:positionV>
                <wp:extent cx="2524125" cy="83820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7DD91F" id="Rectangle 3" o:spid="_x0000_s1026" style="position:absolute;margin-left:538.95pt;margin-top:9.25pt;width:198.75pt;height:6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" strokecolor="silver" strokeweight="1.75pt"/>
            </w:pict>
          </mc:Fallback>
        </mc:AlternateContent>
      </w:r>
      <w:r w:rsidRPr="000B67D9">
        <w:rPr>
          <w:noProof/>
          <w:lang w:eastAsia="es-PE"/>
        </w:rPr>
        <mc:AlternateContent>
          <mc:Choice Requires="wps">
            <w:drawing>
              <wp:anchor distT="0" distB="0" distL="114300" distR="114300" simplePos="0" relativeHeight="251665408" behindDoc="0" locked="0" layoutInCell="1" allowOverlap="1" wp14:anchorId="1803E426" wp14:editId="68544784">
                <wp:simplePos x="0" y="0"/>
                <wp:positionH relativeFrom="column">
                  <wp:posOffset>5568950</wp:posOffset>
                </wp:positionH>
                <wp:positionV relativeFrom="paragraph">
                  <wp:posOffset>127000</wp:posOffset>
                </wp:positionV>
                <wp:extent cx="895350" cy="847725"/>
                <wp:effectExtent l="0" t="0" r="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4ECA67" id="Rectangle 4" o:spid="_x0000_s1026" style="position:absolute;margin-left:438.5pt;margin-top:10pt;width:70.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" strokecolor="silver" strokeweight="1.75pt"/>
            </w:pict>
          </mc:Fallback>
        </mc:AlternateContent>
      </w:r>
    </w:p>
    <w:p w14:paraId="7DCDC1BF" w14:textId="77777777" w:rsidR="00055EA5" w:rsidRPr="000B67D9" w:rsidRDefault="00055EA5" w:rsidP="00055EA5">
      <w:pPr>
        <w:spacing w:after="0" w:line="360" w:lineRule="auto"/>
        <w:rPr>
          <w:rFonts w:ascii="Arial Narrow" w:eastAsia="Times New Roman" w:hAnsi="Arial Narrow" w:cs="Calibri"/>
          <w:lang w:eastAsia="es-PE"/>
        </w:rPr>
      </w:pPr>
    </w:p>
    <w:p w14:paraId="598EC428" w14:textId="77777777" w:rsidR="00055EA5" w:rsidRPr="000B67D9" w:rsidRDefault="00055EA5" w:rsidP="00055EA5">
      <w:pPr>
        <w:spacing w:after="0" w:line="360" w:lineRule="auto"/>
        <w:rPr>
          <w:rFonts w:ascii="Arial Narrow" w:eastAsia="Times New Roman" w:hAnsi="Arial Narrow" w:cs="Calibri"/>
          <w:lang w:eastAsia="es-PE"/>
        </w:rPr>
      </w:pPr>
      <w:r w:rsidRPr="000B67D9">
        <w:rPr>
          <w:rFonts w:ascii="Arial Narrow" w:eastAsia="Times New Roman" w:hAnsi="Arial Narrow" w:cs="Calibri"/>
          <w:lang w:eastAsia="es-PE"/>
        </w:rPr>
        <w:t>Nombres y Apellidos: _________________________________</w:t>
      </w:r>
    </w:p>
    <w:p w14:paraId="55081177" w14:textId="77777777" w:rsidR="00055EA5" w:rsidRPr="000B67D9" w:rsidRDefault="00055EA5" w:rsidP="00055EA5">
      <w:pPr>
        <w:spacing w:after="0" w:line="360" w:lineRule="auto"/>
        <w:rPr>
          <w:rFonts w:ascii="Arial Narrow" w:eastAsia="Times New Roman" w:hAnsi="Arial Narrow" w:cs="Calibri"/>
          <w:lang w:eastAsia="es-PE"/>
        </w:rPr>
      </w:pPr>
      <w:r w:rsidRPr="000B67D9">
        <w:rPr>
          <w:rFonts w:ascii="Arial Narrow" w:eastAsia="Times New Roman" w:hAnsi="Arial Narrow" w:cs="Calibri"/>
          <w:lang w:eastAsia="es-PE"/>
        </w:rPr>
        <w:t>N° de Documento: ___________________________________</w:t>
      </w:r>
    </w:p>
    <w:p w14:paraId="3192E164" w14:textId="77777777" w:rsidR="00055EA5" w:rsidRPr="000B67D9" w:rsidRDefault="00055EA5" w:rsidP="00055EA5">
      <w:pPr>
        <w:spacing w:after="0" w:line="360" w:lineRule="auto"/>
        <w:rPr>
          <w:rFonts w:ascii="Arial Narrow" w:eastAsia="Times New Roman" w:hAnsi="Arial Narrow" w:cs="Calibri"/>
          <w:sz w:val="12"/>
          <w:szCs w:val="12"/>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055EA5" w:rsidRPr="000B67D9" w14:paraId="793EBE6B" w14:textId="77777777" w:rsidTr="001820A2">
        <w:tc>
          <w:tcPr>
            <w:tcW w:w="3847" w:type="dxa"/>
            <w:tcBorders>
              <w:top w:val="nil"/>
              <w:left w:val="nil"/>
              <w:bottom w:val="nil"/>
              <w:right w:val="nil"/>
            </w:tcBorders>
            <w:shd w:val="clear" w:color="auto" w:fill="auto"/>
          </w:tcPr>
          <w:p w14:paraId="6ADD8707" w14:textId="77777777" w:rsidR="00055EA5" w:rsidRPr="000B67D9" w:rsidRDefault="00055EA5" w:rsidP="001820A2">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4F91FF3E" w14:textId="77777777" w:rsidR="00055EA5" w:rsidRPr="000B67D9" w:rsidRDefault="00055EA5" w:rsidP="001820A2">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2EF9D659" w14:textId="77777777" w:rsidR="00055EA5" w:rsidRPr="000B67D9" w:rsidRDefault="00055EA5" w:rsidP="001820A2">
            <w:pPr>
              <w:spacing w:after="0" w:line="240" w:lineRule="auto"/>
              <w:jc w:val="center"/>
              <w:rPr>
                <w:rFonts w:ascii="Arial Narrow" w:eastAsia="Times New Roman" w:hAnsi="Arial Narrow" w:cs="Calibri"/>
                <w:sz w:val="18"/>
                <w:szCs w:val="18"/>
                <w:lang w:eastAsia="es-PE"/>
              </w:rPr>
            </w:pPr>
            <w:r w:rsidRPr="000B67D9">
              <w:rPr>
                <w:rFonts w:ascii="Arial Narrow" w:eastAsia="Times New Roman" w:hAnsi="Arial Narrow" w:cs="Calibri"/>
                <w:sz w:val="18"/>
                <w:szCs w:val="18"/>
                <w:lang w:eastAsia="es-PE"/>
              </w:rPr>
              <w:t>Huella Digital Índice</w:t>
            </w:r>
          </w:p>
          <w:p w14:paraId="41A0F298" w14:textId="77777777" w:rsidR="00055EA5" w:rsidRPr="000B67D9" w:rsidRDefault="00055EA5" w:rsidP="001820A2">
            <w:pPr>
              <w:spacing w:after="0" w:line="240" w:lineRule="auto"/>
              <w:jc w:val="center"/>
              <w:rPr>
                <w:rFonts w:ascii="Arial Narrow" w:eastAsia="Times New Roman" w:hAnsi="Arial Narrow" w:cs="Calibri"/>
                <w:sz w:val="20"/>
                <w:szCs w:val="20"/>
                <w:lang w:eastAsia="es-PE"/>
              </w:rPr>
            </w:pPr>
            <w:r w:rsidRPr="000B67D9">
              <w:rPr>
                <w:rFonts w:ascii="Arial Narrow" w:eastAsia="Times New Roman" w:hAnsi="Arial Narrow" w:cs="Calibri"/>
                <w:sz w:val="18"/>
                <w:szCs w:val="18"/>
                <w:lang w:eastAsia="es-PE"/>
              </w:rPr>
              <w:t>Derecho</w:t>
            </w:r>
          </w:p>
        </w:tc>
        <w:tc>
          <w:tcPr>
            <w:tcW w:w="5040" w:type="dxa"/>
            <w:tcBorders>
              <w:top w:val="nil"/>
              <w:left w:val="nil"/>
              <w:bottom w:val="nil"/>
              <w:right w:val="nil"/>
            </w:tcBorders>
            <w:shd w:val="clear" w:color="auto" w:fill="auto"/>
          </w:tcPr>
          <w:p w14:paraId="56877806" w14:textId="77777777" w:rsidR="00055EA5" w:rsidRPr="000B67D9" w:rsidRDefault="00055EA5" w:rsidP="001820A2">
            <w:pPr>
              <w:spacing w:after="0" w:line="240" w:lineRule="auto"/>
              <w:jc w:val="center"/>
              <w:rPr>
                <w:rFonts w:ascii="Arial Narrow" w:eastAsia="Times New Roman" w:hAnsi="Arial Narrow" w:cs="Calibri"/>
                <w:sz w:val="18"/>
                <w:szCs w:val="18"/>
                <w:lang w:eastAsia="es-PE"/>
              </w:rPr>
            </w:pPr>
            <w:r w:rsidRPr="000B67D9">
              <w:rPr>
                <w:rFonts w:ascii="Arial Narrow" w:eastAsia="Times New Roman" w:hAnsi="Arial Narrow" w:cs="Calibri"/>
                <w:sz w:val="18"/>
                <w:szCs w:val="18"/>
                <w:lang w:eastAsia="es-PE"/>
              </w:rPr>
              <w:t xml:space="preserve">Firma del Cliente (con lapicero tinta negra, </w:t>
            </w:r>
          </w:p>
          <w:p w14:paraId="261470F9" w14:textId="77777777" w:rsidR="00055EA5" w:rsidRPr="000B67D9" w:rsidRDefault="00055EA5" w:rsidP="001820A2">
            <w:pPr>
              <w:spacing w:after="0" w:line="240" w:lineRule="auto"/>
              <w:jc w:val="center"/>
              <w:rPr>
                <w:rFonts w:ascii="Arial Narrow" w:eastAsia="Times New Roman" w:hAnsi="Arial Narrow" w:cs="Calibri"/>
                <w:sz w:val="18"/>
                <w:szCs w:val="18"/>
                <w:lang w:eastAsia="es-PE"/>
              </w:rPr>
            </w:pPr>
            <w:r w:rsidRPr="000B67D9">
              <w:rPr>
                <w:rFonts w:ascii="Arial Narrow" w:eastAsia="Times New Roman" w:hAnsi="Arial Narrow" w:cs="Calibri"/>
                <w:sz w:val="18"/>
                <w:szCs w:val="18"/>
                <w:lang w:eastAsia="es-PE"/>
              </w:rPr>
              <w:t>sin sobrepasar el recuadro)</w:t>
            </w:r>
          </w:p>
        </w:tc>
      </w:tr>
      <w:tr w:rsidR="00055EA5" w:rsidRPr="000B67D9" w14:paraId="45F882E6" w14:textId="77777777" w:rsidTr="001820A2">
        <w:tc>
          <w:tcPr>
            <w:tcW w:w="3847" w:type="dxa"/>
            <w:tcBorders>
              <w:top w:val="nil"/>
              <w:left w:val="nil"/>
              <w:bottom w:val="single" w:sz="4" w:space="0" w:color="auto"/>
              <w:right w:val="nil"/>
            </w:tcBorders>
            <w:shd w:val="clear" w:color="auto" w:fill="auto"/>
          </w:tcPr>
          <w:p w14:paraId="771C1763" w14:textId="77777777" w:rsidR="00055EA5" w:rsidRPr="000B67D9" w:rsidRDefault="00055EA5" w:rsidP="001820A2">
            <w:pPr>
              <w:spacing w:after="0" w:line="360" w:lineRule="auto"/>
              <w:rPr>
                <w:rFonts w:ascii="Arial Narrow" w:eastAsia="Times New Roman" w:hAnsi="Arial Narrow" w:cs="Calibri"/>
                <w:lang w:eastAsia="es-PE"/>
              </w:rPr>
            </w:pPr>
          </w:p>
          <w:p w14:paraId="0BBA2F5F" w14:textId="77777777" w:rsidR="00055EA5" w:rsidRPr="000B67D9" w:rsidRDefault="00055EA5" w:rsidP="001820A2">
            <w:pPr>
              <w:spacing w:after="0" w:line="360" w:lineRule="auto"/>
              <w:rPr>
                <w:rFonts w:ascii="Arial Narrow" w:eastAsia="Times New Roman" w:hAnsi="Arial Narrow" w:cs="Calibri"/>
                <w:lang w:eastAsia="es-PE"/>
              </w:rPr>
            </w:pPr>
          </w:p>
          <w:p w14:paraId="00B8137A" w14:textId="77777777" w:rsidR="00055EA5" w:rsidRPr="000B67D9" w:rsidRDefault="00055EA5" w:rsidP="001820A2">
            <w:pPr>
              <w:spacing w:after="0" w:line="360" w:lineRule="auto"/>
              <w:rPr>
                <w:rFonts w:ascii="Arial Narrow" w:eastAsia="Times New Roman" w:hAnsi="Arial Narrow" w:cs="Calibri"/>
                <w:lang w:eastAsia="es-PE"/>
              </w:rPr>
            </w:pPr>
          </w:p>
          <w:p w14:paraId="30CFD922" w14:textId="77777777" w:rsidR="00055EA5" w:rsidRPr="000B67D9" w:rsidRDefault="00055EA5" w:rsidP="001820A2">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30C9AE77" w14:textId="77777777" w:rsidR="00055EA5" w:rsidRPr="000B67D9" w:rsidRDefault="00055EA5" w:rsidP="001820A2">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4436EAA7" w14:textId="77777777" w:rsidR="00055EA5" w:rsidRPr="000B67D9" w:rsidRDefault="00055EA5" w:rsidP="001820A2">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09D4DB94" w14:textId="77777777" w:rsidR="00055EA5" w:rsidRPr="000B67D9" w:rsidRDefault="00055EA5" w:rsidP="001820A2">
            <w:pPr>
              <w:spacing w:after="0" w:line="240" w:lineRule="auto"/>
              <w:jc w:val="center"/>
              <w:rPr>
                <w:rFonts w:ascii="Arial Narrow" w:eastAsia="Times New Roman" w:hAnsi="Arial Narrow" w:cs="Calibri"/>
                <w:sz w:val="18"/>
                <w:szCs w:val="18"/>
                <w:lang w:eastAsia="es-PE"/>
              </w:rPr>
            </w:pPr>
          </w:p>
        </w:tc>
      </w:tr>
      <w:tr w:rsidR="00055EA5" w:rsidRPr="000B67D9" w14:paraId="4BAD44C2" w14:textId="77777777" w:rsidTr="001820A2">
        <w:tc>
          <w:tcPr>
            <w:tcW w:w="3847" w:type="dxa"/>
            <w:tcBorders>
              <w:top w:val="single" w:sz="4" w:space="0" w:color="auto"/>
              <w:left w:val="nil"/>
              <w:bottom w:val="nil"/>
              <w:right w:val="nil"/>
            </w:tcBorders>
            <w:shd w:val="clear" w:color="auto" w:fill="auto"/>
          </w:tcPr>
          <w:p w14:paraId="69C28BFE" w14:textId="77777777" w:rsidR="00055EA5" w:rsidRPr="000B67D9" w:rsidRDefault="00055EA5" w:rsidP="001820A2">
            <w:pPr>
              <w:spacing w:after="0" w:line="240" w:lineRule="auto"/>
              <w:rPr>
                <w:rFonts w:ascii="Arial Narrow" w:eastAsia="Times New Roman" w:hAnsi="Arial Narrow" w:cs="Calibri"/>
                <w:lang w:eastAsia="es-PE"/>
              </w:rPr>
            </w:pPr>
            <w:r w:rsidRPr="000B67D9">
              <w:rPr>
                <w:rFonts w:ascii="Arial Narrow" w:eastAsia="Times New Roman" w:hAnsi="Arial Narrow" w:cs="Calibri"/>
                <w:lang w:eastAsia="es-PE"/>
              </w:rPr>
              <w:t>Sello y firma del Responsable de la Atención</w:t>
            </w:r>
          </w:p>
          <w:p w14:paraId="67817254" w14:textId="77777777" w:rsidR="00055EA5" w:rsidRPr="000B67D9" w:rsidRDefault="00055EA5" w:rsidP="001820A2">
            <w:pPr>
              <w:spacing w:after="0" w:line="240" w:lineRule="auto"/>
              <w:rPr>
                <w:rFonts w:ascii="Arial Narrow" w:eastAsia="Times New Roman" w:hAnsi="Arial Narrow" w:cs="Calibri"/>
                <w:lang w:eastAsia="es-PE"/>
              </w:rPr>
            </w:pPr>
            <w:r w:rsidRPr="000B67D9">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6C0BDF4C" w14:textId="77777777" w:rsidR="00055EA5" w:rsidRPr="000B67D9" w:rsidRDefault="00055EA5" w:rsidP="001820A2">
            <w:pPr>
              <w:spacing w:after="0" w:line="360" w:lineRule="auto"/>
              <w:rPr>
                <w:rFonts w:ascii="Arial Narrow" w:eastAsia="Times New Roman" w:hAnsi="Arial Narrow" w:cs="Calibri"/>
                <w:lang w:eastAsia="es-PE"/>
              </w:rPr>
            </w:pPr>
            <w:r w:rsidRPr="000B67D9">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1E825E33" w14:textId="77777777" w:rsidR="00055EA5" w:rsidRPr="000B67D9" w:rsidRDefault="00055EA5" w:rsidP="001820A2">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0A647A1C" w14:textId="77777777" w:rsidR="00055EA5" w:rsidRPr="000B67D9" w:rsidRDefault="00055EA5" w:rsidP="001820A2">
            <w:pPr>
              <w:spacing w:after="0" w:line="240" w:lineRule="auto"/>
              <w:jc w:val="center"/>
              <w:rPr>
                <w:rFonts w:ascii="Arial Narrow" w:eastAsia="Times New Roman" w:hAnsi="Arial Narrow" w:cs="Calibri"/>
                <w:b/>
                <w:sz w:val="18"/>
                <w:szCs w:val="18"/>
                <w:lang w:eastAsia="es-PE"/>
              </w:rPr>
            </w:pPr>
          </w:p>
        </w:tc>
      </w:tr>
    </w:tbl>
    <w:p w14:paraId="5133B658"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47E72F13"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0B05D554"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79D5C0CB"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18521E50"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2161B290"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3C0C0D70"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356C5456"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17EC2822"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59CC5F5D"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107369C6"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36AD957D"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3C4CBDF8"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67209999" w14:textId="77777777" w:rsidR="00055EA5" w:rsidRPr="000B67D9" w:rsidRDefault="00055EA5" w:rsidP="00055EA5">
      <w:pPr>
        <w:pStyle w:val="ListParagraph"/>
        <w:tabs>
          <w:tab w:val="left" w:pos="270"/>
        </w:tabs>
        <w:spacing w:after="0" w:line="240" w:lineRule="auto"/>
        <w:ind w:left="0"/>
        <w:rPr>
          <w:rFonts w:ascii="Arial Narrow" w:hAnsi="Arial Narrow"/>
        </w:rPr>
      </w:pPr>
    </w:p>
    <w:p w14:paraId="1EF403E3" w14:textId="77777777" w:rsidR="00055EA5" w:rsidRPr="000B67D9" w:rsidRDefault="00055EA5" w:rsidP="00055EA5">
      <w:pPr>
        <w:pStyle w:val="ListParagraph"/>
        <w:tabs>
          <w:tab w:val="left" w:pos="270"/>
        </w:tabs>
        <w:spacing w:after="0" w:line="240" w:lineRule="auto"/>
        <w:ind w:left="0"/>
        <w:jc w:val="right"/>
        <w:rPr>
          <w:rFonts w:ascii="Arial Narrow" w:hAnsi="Arial Narrow"/>
        </w:rPr>
      </w:pPr>
    </w:p>
    <w:p w14:paraId="1D4B8C44" w14:textId="77777777" w:rsidR="00055EA5" w:rsidRPr="000B67D9" w:rsidRDefault="00055EA5" w:rsidP="00055EA5">
      <w:pPr>
        <w:pStyle w:val="ListParagraph"/>
        <w:tabs>
          <w:tab w:val="left" w:pos="270"/>
        </w:tabs>
        <w:spacing w:after="0" w:line="240" w:lineRule="auto"/>
        <w:ind w:left="0"/>
        <w:jc w:val="right"/>
        <w:rPr>
          <w:rFonts w:ascii="Arial Narrow" w:hAnsi="Arial Narrow"/>
        </w:rPr>
      </w:pPr>
    </w:p>
    <w:p w14:paraId="14620572" w14:textId="77777777" w:rsidR="00055EA5" w:rsidRPr="000B67D9" w:rsidRDefault="00055EA5" w:rsidP="00055EA5">
      <w:pPr>
        <w:pStyle w:val="ListParagraph"/>
        <w:tabs>
          <w:tab w:val="left" w:pos="270"/>
        </w:tabs>
        <w:spacing w:after="0" w:line="240" w:lineRule="auto"/>
        <w:ind w:left="0"/>
        <w:jc w:val="right"/>
        <w:rPr>
          <w:rFonts w:ascii="Arial Narrow" w:hAnsi="Arial Narrow"/>
        </w:rPr>
      </w:pPr>
    </w:p>
    <w:p w14:paraId="7D6D806B" w14:textId="77777777" w:rsidR="00055EA5" w:rsidRPr="000B67D9" w:rsidRDefault="00055EA5" w:rsidP="00055EA5">
      <w:pPr>
        <w:pStyle w:val="ListParagraph"/>
        <w:tabs>
          <w:tab w:val="left" w:pos="270"/>
        </w:tabs>
        <w:spacing w:after="0" w:line="240" w:lineRule="auto"/>
        <w:ind w:left="0"/>
        <w:jc w:val="right"/>
        <w:rPr>
          <w:rFonts w:ascii="Arial Narrow" w:hAnsi="Arial Narrow"/>
          <w:b/>
          <w:bCs/>
        </w:rPr>
      </w:pPr>
    </w:p>
    <w:p w14:paraId="17CA1FE0" w14:textId="77777777" w:rsidR="00055EA5" w:rsidRPr="000B67D9" w:rsidRDefault="00055EA5" w:rsidP="00055EA5">
      <w:pPr>
        <w:pStyle w:val="ListParagraph"/>
        <w:tabs>
          <w:tab w:val="left" w:pos="270"/>
        </w:tabs>
        <w:spacing w:after="0" w:line="240" w:lineRule="auto"/>
        <w:ind w:left="0"/>
        <w:jc w:val="right"/>
        <w:rPr>
          <w:rFonts w:ascii="Arial Narrow" w:hAnsi="Arial Narrow"/>
          <w:b/>
          <w:bCs/>
        </w:rPr>
      </w:pPr>
    </w:p>
    <w:p w14:paraId="79DED6EE" w14:textId="4640AC53" w:rsidR="00055EA5" w:rsidRPr="00055EA5" w:rsidRDefault="00055EA5" w:rsidP="00055EA5">
      <w:pPr>
        <w:pStyle w:val="ListParagraph"/>
        <w:tabs>
          <w:tab w:val="left" w:pos="270"/>
        </w:tabs>
        <w:spacing w:after="0" w:line="240" w:lineRule="auto"/>
        <w:ind w:left="0"/>
        <w:jc w:val="right"/>
      </w:pPr>
      <w:r w:rsidRPr="000B67D9">
        <w:rPr>
          <w:rFonts w:ascii="Arial Narrow" w:hAnsi="Arial Narrow"/>
          <w:b/>
          <w:bCs/>
        </w:rPr>
        <w:t>COPIA-CLIENTE</w:t>
      </w:r>
      <w:r>
        <w:tab/>
      </w:r>
    </w:p>
    <w:sectPr w:rsidR="00055EA5" w:rsidRPr="00055EA5" w:rsidSect="005151E5">
      <w:headerReference w:type="default" r:id="rId18"/>
      <w:footerReference w:type="default" r:id="rId19"/>
      <w:pgSz w:w="16838" w:h="11906" w:orient="landscape" w:code="9"/>
      <w:pgMar w:top="547" w:right="720" w:bottom="432"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64EA" w14:textId="77777777" w:rsidR="00C439B4" w:rsidRDefault="00C439B4" w:rsidP="00FD4E1B">
      <w:pPr>
        <w:spacing w:after="0" w:line="240" w:lineRule="auto"/>
      </w:pPr>
      <w:r>
        <w:separator/>
      </w:r>
    </w:p>
  </w:endnote>
  <w:endnote w:type="continuationSeparator" w:id="0">
    <w:p w14:paraId="681789CF" w14:textId="77777777" w:rsidR="00C439B4" w:rsidRDefault="00C439B4" w:rsidP="00FD4E1B">
      <w:pPr>
        <w:spacing w:after="0" w:line="240" w:lineRule="auto"/>
      </w:pPr>
      <w:r>
        <w:continuationSeparator/>
      </w:r>
    </w:p>
  </w:endnote>
  <w:endnote w:type="continuationNotice" w:id="1">
    <w:p w14:paraId="5121E980" w14:textId="77777777" w:rsidR="00C439B4" w:rsidRDefault="00C43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FB92" w14:textId="64994461" w:rsidR="00FD4E1B" w:rsidRPr="00FD4E1B" w:rsidRDefault="00FD4E1B">
    <w:pPr>
      <w:pStyle w:val="Footer"/>
      <w:rPr>
        <w:sz w:val="18"/>
        <w:szCs w:val="18"/>
      </w:rPr>
    </w:pPr>
    <w:r w:rsidRPr="00FD4E1B">
      <w:rPr>
        <w:sz w:val="18"/>
        <w:szCs w:val="18"/>
      </w:rPr>
      <w:t>C.</w:t>
    </w:r>
    <w:r w:rsidR="00055EA5">
      <w:rPr>
        <w:sz w:val="18"/>
        <w:szCs w:val="18"/>
      </w:rPr>
      <w:t>00470/</w:t>
    </w:r>
    <w:r w:rsidR="00276E11">
      <w:rPr>
        <w:sz w:val="18"/>
        <w:szCs w:val="18"/>
      </w:rPr>
      <w:t>06</w:t>
    </w:r>
    <w:r w:rsidR="00055EA5">
      <w:rPr>
        <w:sz w:val="18"/>
        <w:szCs w:val="18"/>
      </w:rPr>
      <w:t>.20</w:t>
    </w:r>
    <w:r w:rsidR="00CE692A">
      <w:rPr>
        <w:sz w:val="18"/>
        <w:szCs w:val="18"/>
      </w:rPr>
      <w:t>2</w:t>
    </w:r>
    <w:r w:rsidR="00276E11">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6119" w14:textId="77777777" w:rsidR="00C439B4" w:rsidRDefault="00C439B4" w:rsidP="00FD4E1B">
      <w:pPr>
        <w:spacing w:after="0" w:line="240" w:lineRule="auto"/>
      </w:pPr>
      <w:r>
        <w:separator/>
      </w:r>
    </w:p>
  </w:footnote>
  <w:footnote w:type="continuationSeparator" w:id="0">
    <w:p w14:paraId="1B527FDB" w14:textId="77777777" w:rsidR="00C439B4" w:rsidRDefault="00C439B4" w:rsidP="00FD4E1B">
      <w:pPr>
        <w:spacing w:after="0" w:line="240" w:lineRule="auto"/>
      </w:pPr>
      <w:r>
        <w:continuationSeparator/>
      </w:r>
    </w:p>
  </w:footnote>
  <w:footnote w:type="continuationNotice" w:id="1">
    <w:p w14:paraId="5A42A2E7" w14:textId="77777777" w:rsidR="00C439B4" w:rsidRDefault="00C439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8A35" w14:textId="0E4CADB7" w:rsidR="00FD4E1B" w:rsidRDefault="00675050">
    <w:pPr>
      <w:pStyle w:val="Header"/>
    </w:pPr>
    <w:r>
      <w:rPr>
        <w:noProof/>
        <w:lang w:eastAsia="es-PE"/>
      </w:rPr>
      <w:drawing>
        <wp:inline distT="0" distB="0" distL="0" distR="0" wp14:anchorId="2C74ADC1" wp14:editId="0B56717E">
          <wp:extent cx="952500" cy="3429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A07B3"/>
    <w:multiLevelType w:val="hybridMultilevel"/>
    <w:tmpl w:val="39DE6FF4"/>
    <w:lvl w:ilvl="0" w:tplc="58CCF69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636571DD"/>
    <w:multiLevelType w:val="hybridMultilevel"/>
    <w:tmpl w:val="023C1368"/>
    <w:lvl w:ilvl="0" w:tplc="5640591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621836780">
    <w:abstractNumId w:val="1"/>
  </w:num>
  <w:num w:numId="2" w16cid:durableId="121631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RDDx1XdBeGxbIOEnyhvH7dxKxNnxU1GV09Yg6VFPwCtEjaeAFJIlpJrRmFdTd8CaRRHi+hf1b6i0ISyFZ0yxyQ==" w:salt="WkibxVmyUz9scKBM/YUTk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B"/>
    <w:rsid w:val="00004FEF"/>
    <w:rsid w:val="000242E4"/>
    <w:rsid w:val="00027DEA"/>
    <w:rsid w:val="00055EA5"/>
    <w:rsid w:val="00065E92"/>
    <w:rsid w:val="00073803"/>
    <w:rsid w:val="00085050"/>
    <w:rsid w:val="000A352F"/>
    <w:rsid w:val="000B67D9"/>
    <w:rsid w:val="000D179F"/>
    <w:rsid w:val="000E7351"/>
    <w:rsid w:val="00112EB9"/>
    <w:rsid w:val="00117671"/>
    <w:rsid w:val="00131644"/>
    <w:rsid w:val="00145BEF"/>
    <w:rsid w:val="001467FF"/>
    <w:rsid w:val="001C0C7D"/>
    <w:rsid w:val="001D4CC0"/>
    <w:rsid w:val="00207672"/>
    <w:rsid w:val="002144EF"/>
    <w:rsid w:val="00216005"/>
    <w:rsid w:val="00276E11"/>
    <w:rsid w:val="002D0D7C"/>
    <w:rsid w:val="002E5A9E"/>
    <w:rsid w:val="002F131E"/>
    <w:rsid w:val="0030402A"/>
    <w:rsid w:val="003061F6"/>
    <w:rsid w:val="00311644"/>
    <w:rsid w:val="00340A07"/>
    <w:rsid w:val="00370C3C"/>
    <w:rsid w:val="003B78D1"/>
    <w:rsid w:val="003E6AE9"/>
    <w:rsid w:val="003F7A76"/>
    <w:rsid w:val="00421925"/>
    <w:rsid w:val="00424A32"/>
    <w:rsid w:val="004363C0"/>
    <w:rsid w:val="0045177B"/>
    <w:rsid w:val="00475DF9"/>
    <w:rsid w:val="00491D53"/>
    <w:rsid w:val="004B4696"/>
    <w:rsid w:val="004D79AE"/>
    <w:rsid w:val="004E2D99"/>
    <w:rsid w:val="004E3B7F"/>
    <w:rsid w:val="004E5AE5"/>
    <w:rsid w:val="004E7333"/>
    <w:rsid w:val="004F3786"/>
    <w:rsid w:val="005151E5"/>
    <w:rsid w:val="00522F8D"/>
    <w:rsid w:val="00557885"/>
    <w:rsid w:val="00577CCB"/>
    <w:rsid w:val="00593936"/>
    <w:rsid w:val="005B0C02"/>
    <w:rsid w:val="005B4821"/>
    <w:rsid w:val="005C2060"/>
    <w:rsid w:val="00606F0A"/>
    <w:rsid w:val="0061780B"/>
    <w:rsid w:val="00650E05"/>
    <w:rsid w:val="00655281"/>
    <w:rsid w:val="00675050"/>
    <w:rsid w:val="00677346"/>
    <w:rsid w:val="006C75AC"/>
    <w:rsid w:val="00722EAC"/>
    <w:rsid w:val="00784D38"/>
    <w:rsid w:val="007B5667"/>
    <w:rsid w:val="007C3B7D"/>
    <w:rsid w:val="007D43A6"/>
    <w:rsid w:val="007E4ACD"/>
    <w:rsid w:val="00801022"/>
    <w:rsid w:val="0080379C"/>
    <w:rsid w:val="00804E96"/>
    <w:rsid w:val="0082046C"/>
    <w:rsid w:val="008269B4"/>
    <w:rsid w:val="00847717"/>
    <w:rsid w:val="00850C50"/>
    <w:rsid w:val="00873E2F"/>
    <w:rsid w:val="0088722F"/>
    <w:rsid w:val="008A4332"/>
    <w:rsid w:val="00910DB4"/>
    <w:rsid w:val="00921E23"/>
    <w:rsid w:val="009711F0"/>
    <w:rsid w:val="009928BD"/>
    <w:rsid w:val="009B503E"/>
    <w:rsid w:val="009F48CC"/>
    <w:rsid w:val="00A070ED"/>
    <w:rsid w:val="00A11A2B"/>
    <w:rsid w:val="00A46077"/>
    <w:rsid w:val="00A543F2"/>
    <w:rsid w:val="00AC08CF"/>
    <w:rsid w:val="00B25BDF"/>
    <w:rsid w:val="00B62F47"/>
    <w:rsid w:val="00B63894"/>
    <w:rsid w:val="00B8040C"/>
    <w:rsid w:val="00BB1FC3"/>
    <w:rsid w:val="00BB3B7A"/>
    <w:rsid w:val="00BB5DBE"/>
    <w:rsid w:val="00C111AC"/>
    <w:rsid w:val="00C12CFB"/>
    <w:rsid w:val="00C439B4"/>
    <w:rsid w:val="00C8637A"/>
    <w:rsid w:val="00C9214D"/>
    <w:rsid w:val="00CC0D98"/>
    <w:rsid w:val="00CC460B"/>
    <w:rsid w:val="00CD5EBC"/>
    <w:rsid w:val="00CE692A"/>
    <w:rsid w:val="00D0372A"/>
    <w:rsid w:val="00D15590"/>
    <w:rsid w:val="00D53EC9"/>
    <w:rsid w:val="00D648E1"/>
    <w:rsid w:val="00D72676"/>
    <w:rsid w:val="00D804FC"/>
    <w:rsid w:val="00D9595C"/>
    <w:rsid w:val="00DB66D8"/>
    <w:rsid w:val="00E01EC2"/>
    <w:rsid w:val="00E439BB"/>
    <w:rsid w:val="00E67A18"/>
    <w:rsid w:val="00EC7817"/>
    <w:rsid w:val="00FB3094"/>
    <w:rsid w:val="00FB3774"/>
    <w:rsid w:val="00FC357D"/>
    <w:rsid w:val="00FD4E1B"/>
    <w:rsid w:val="00FE574C"/>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2B85"/>
  <w15:chartTrackingRefBased/>
  <w15:docId w15:val="{3AB2B939-0888-4A36-9902-05426314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E1B"/>
    <w:pPr>
      <w:ind w:left="720"/>
      <w:contextualSpacing/>
    </w:pPr>
  </w:style>
  <w:style w:type="character" w:styleId="Hyperlink">
    <w:name w:val="Hyperlink"/>
    <w:uiPriority w:val="99"/>
    <w:unhideWhenUsed/>
    <w:rsid w:val="00FD4E1B"/>
    <w:rPr>
      <w:color w:val="0563C1"/>
      <w:u w:val="single"/>
    </w:rPr>
  </w:style>
  <w:style w:type="character" w:customStyle="1" w:styleId="Mencinsinresolver1">
    <w:name w:val="Mención sin resolver1"/>
    <w:uiPriority w:val="99"/>
    <w:semiHidden/>
    <w:unhideWhenUsed/>
    <w:rsid w:val="00FD4E1B"/>
    <w:rPr>
      <w:color w:val="808080"/>
      <w:shd w:val="clear" w:color="auto" w:fill="E6E6E6"/>
    </w:rPr>
  </w:style>
  <w:style w:type="table" w:styleId="TableGrid">
    <w:name w:val="Table Grid"/>
    <w:basedOn w:val="TableNormal"/>
    <w:uiPriority w:val="39"/>
    <w:rsid w:val="00FD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D4E1B"/>
  </w:style>
  <w:style w:type="paragraph" w:styleId="Footer">
    <w:name w:val="footer"/>
    <w:basedOn w:val="Normal"/>
    <w:link w:val="FooterChar"/>
    <w:uiPriority w:val="99"/>
    <w:unhideWhenUsed/>
    <w:rsid w:val="00FD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D4E1B"/>
  </w:style>
  <w:style w:type="paragraph" w:styleId="BalloonText">
    <w:name w:val="Balloon Text"/>
    <w:basedOn w:val="Normal"/>
    <w:link w:val="BalloonTextChar"/>
    <w:uiPriority w:val="99"/>
    <w:semiHidden/>
    <w:unhideWhenUsed/>
    <w:rsid w:val="007D4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3A6"/>
    <w:rPr>
      <w:rFonts w:ascii="Segoe UI" w:hAnsi="Segoe UI" w:cs="Segoe UI"/>
      <w:sz w:val="18"/>
      <w:szCs w:val="18"/>
      <w:lang w:eastAsia="en-US"/>
    </w:rPr>
  </w:style>
  <w:style w:type="paragraph" w:styleId="NormalWeb">
    <w:name w:val="Normal (Web)"/>
    <w:basedOn w:val="Normal"/>
    <w:uiPriority w:val="99"/>
    <w:semiHidden/>
    <w:unhideWhenUsed/>
    <w:rsid w:val="00847717"/>
    <w:pPr>
      <w:spacing w:before="100" w:beforeAutospacing="1" w:after="100" w:afterAutospacing="1" w:line="240" w:lineRule="auto"/>
    </w:pPr>
    <w:rPr>
      <w:rFonts w:ascii="Times New Roman" w:eastAsia="Times New Roman" w:hAnsi="Times New Roman"/>
      <w:sz w:val="24"/>
      <w:szCs w:val="24"/>
      <w:lang w:eastAsia="es-PE"/>
    </w:rPr>
  </w:style>
  <w:style w:type="character" w:styleId="CommentReference">
    <w:name w:val="annotation reference"/>
    <w:basedOn w:val="DefaultParagraphFont"/>
    <w:uiPriority w:val="99"/>
    <w:semiHidden/>
    <w:unhideWhenUsed/>
    <w:rsid w:val="00065E92"/>
    <w:rPr>
      <w:sz w:val="16"/>
      <w:szCs w:val="16"/>
    </w:rPr>
  </w:style>
  <w:style w:type="paragraph" w:styleId="CommentText">
    <w:name w:val="annotation text"/>
    <w:basedOn w:val="Normal"/>
    <w:link w:val="CommentTextChar"/>
    <w:uiPriority w:val="99"/>
    <w:semiHidden/>
    <w:unhideWhenUsed/>
    <w:rsid w:val="00065E92"/>
    <w:pPr>
      <w:spacing w:line="240" w:lineRule="auto"/>
    </w:pPr>
    <w:rPr>
      <w:sz w:val="20"/>
      <w:szCs w:val="20"/>
    </w:rPr>
  </w:style>
  <w:style w:type="character" w:customStyle="1" w:styleId="CommentTextChar">
    <w:name w:val="Comment Text Char"/>
    <w:basedOn w:val="DefaultParagraphFont"/>
    <w:link w:val="CommentText"/>
    <w:uiPriority w:val="99"/>
    <w:semiHidden/>
    <w:rsid w:val="00065E92"/>
    <w:rPr>
      <w:lang w:eastAsia="en-US"/>
    </w:rPr>
  </w:style>
  <w:style w:type="paragraph" w:styleId="CommentSubject">
    <w:name w:val="annotation subject"/>
    <w:basedOn w:val="CommentText"/>
    <w:next w:val="CommentText"/>
    <w:link w:val="CommentSubjectChar"/>
    <w:uiPriority w:val="99"/>
    <w:semiHidden/>
    <w:unhideWhenUsed/>
    <w:rsid w:val="00065E92"/>
    <w:rPr>
      <w:b/>
      <w:bCs/>
    </w:rPr>
  </w:style>
  <w:style w:type="character" w:customStyle="1" w:styleId="CommentSubjectChar">
    <w:name w:val="Comment Subject Char"/>
    <w:basedOn w:val="CommentTextChar"/>
    <w:link w:val="CommentSubject"/>
    <w:uiPriority w:val="99"/>
    <w:semiHidden/>
    <w:rsid w:val="00065E92"/>
    <w:rPr>
      <w:b/>
      <w:bCs/>
      <w:lang w:eastAsia="en-US"/>
    </w:rPr>
  </w:style>
  <w:style w:type="paragraph" w:styleId="Revision">
    <w:name w:val="Revision"/>
    <w:hidden/>
    <w:uiPriority w:val="99"/>
    <w:semiHidden/>
    <w:rsid w:val="001C0C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528">
      <w:bodyDiv w:val="1"/>
      <w:marLeft w:val="0"/>
      <w:marRight w:val="0"/>
      <w:marTop w:val="0"/>
      <w:marBottom w:val="0"/>
      <w:divBdr>
        <w:top w:val="none" w:sz="0" w:space="0" w:color="auto"/>
        <w:left w:val="none" w:sz="0" w:space="0" w:color="auto"/>
        <w:bottom w:val="none" w:sz="0" w:space="0" w:color="auto"/>
        <w:right w:val="none" w:sz="0" w:space="0" w:color="auto"/>
      </w:divBdr>
    </w:div>
    <w:div w:id="161704985">
      <w:bodyDiv w:val="1"/>
      <w:marLeft w:val="0"/>
      <w:marRight w:val="0"/>
      <w:marTop w:val="0"/>
      <w:marBottom w:val="0"/>
      <w:divBdr>
        <w:top w:val="none" w:sz="0" w:space="0" w:color="auto"/>
        <w:left w:val="none" w:sz="0" w:space="0" w:color="auto"/>
        <w:bottom w:val="none" w:sz="0" w:space="0" w:color="auto"/>
        <w:right w:val="none" w:sz="0" w:space="0" w:color="auto"/>
      </w:divBdr>
    </w:div>
    <w:div w:id="973944081">
      <w:bodyDiv w:val="1"/>
      <w:marLeft w:val="0"/>
      <w:marRight w:val="0"/>
      <w:marTop w:val="0"/>
      <w:marBottom w:val="0"/>
      <w:divBdr>
        <w:top w:val="none" w:sz="0" w:space="0" w:color="auto"/>
        <w:left w:val="none" w:sz="0" w:space="0" w:color="auto"/>
        <w:bottom w:val="none" w:sz="0" w:space="0" w:color="auto"/>
        <w:right w:val="none" w:sz="0" w:space="0" w:color="auto"/>
      </w:divBdr>
    </w:div>
    <w:div w:id="1201548098">
      <w:bodyDiv w:val="1"/>
      <w:marLeft w:val="0"/>
      <w:marRight w:val="0"/>
      <w:marTop w:val="0"/>
      <w:marBottom w:val="0"/>
      <w:divBdr>
        <w:top w:val="none" w:sz="0" w:space="0" w:color="auto"/>
        <w:left w:val="none" w:sz="0" w:space="0" w:color="auto"/>
        <w:bottom w:val="none" w:sz="0" w:space="0" w:color="auto"/>
        <w:right w:val="none" w:sz="0" w:space="0" w:color="auto"/>
      </w:divBdr>
    </w:div>
    <w:div w:id="12393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sd.org.p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rediscotia.com.pe" TargetMode="External"/><Relationship Id="rId17" Type="http://schemas.openxmlformats.org/officeDocument/2006/relationships/hyperlink" Target="http://www.dcf.pe" TargetMode="External"/><Relationship Id="rId2" Type="http://schemas.openxmlformats.org/officeDocument/2006/relationships/customXml" Target="../customXml/item2.xml"/><Relationship Id="rId16" Type="http://schemas.openxmlformats.org/officeDocument/2006/relationships/hyperlink" Target="http://www.fsd.org.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rediscotia.com.p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cf.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0E2C9E57F9840AB2EBD2E21384587" ma:contentTypeVersion="12" ma:contentTypeDescription="Create a new document." ma:contentTypeScope="" ma:versionID="6944cc5bb0c139013e8cd5e0c7208532">
  <xsd:schema xmlns:xsd="http://www.w3.org/2001/XMLSchema" xmlns:xs="http://www.w3.org/2001/XMLSchema" xmlns:p="http://schemas.microsoft.com/office/2006/metadata/properties" xmlns:ns3="0abb7883-0c93-4540-b34a-45b2246f695a" xmlns:ns4="79c30a63-4eb7-4285-8973-21156f52128c" targetNamespace="http://schemas.microsoft.com/office/2006/metadata/properties" ma:root="true" ma:fieldsID="3e35dc6c216775fc567677f1ef222db9" ns3:_="" ns4:_="">
    <xsd:import namespace="0abb7883-0c93-4540-b34a-45b2246f695a"/>
    <xsd:import namespace="79c30a63-4eb7-4285-8973-21156f5212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7883-0c93-4540-b34a-45b2246f6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30a63-4eb7-4285-8973-21156f5212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56120-F081-473A-868B-E88C033FD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7883-0c93-4540-b34a-45b2246f695a"/>
    <ds:schemaRef ds:uri="79c30a63-4eb7-4285-8973-21156f52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86D8F-F94D-4C57-8B11-7CF9AEBBB484}">
  <ds:schemaRefs>
    <ds:schemaRef ds:uri="http://purl.org/dc/elements/1.1/"/>
    <ds:schemaRef ds:uri="http://schemas.microsoft.com/office/2006/metadata/properties"/>
    <ds:schemaRef ds:uri="0abb7883-0c93-4540-b34a-45b2246f695a"/>
    <ds:schemaRef ds:uri="http://purl.org/dc/terms/"/>
    <ds:schemaRef ds:uri="http://schemas.openxmlformats.org/package/2006/metadata/core-properties"/>
    <ds:schemaRef ds:uri="79c30a63-4eb7-4285-8973-21156f52128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7B16A8A-F87C-463C-AA2B-2364C0A07197}">
  <ds:schemaRefs>
    <ds:schemaRef ds:uri="http://schemas.openxmlformats.org/officeDocument/2006/bibliography"/>
  </ds:schemaRefs>
</ds:datastoreItem>
</file>

<file path=customXml/itemProps4.xml><?xml version="1.0" encoding="utf-8"?>
<ds:datastoreItem xmlns:ds="http://schemas.openxmlformats.org/officeDocument/2006/customXml" ds:itemID="{2FA8E27F-7A29-4113-8D85-2591BBE234CA}">
  <ds:schemaRefs>
    <ds:schemaRef ds:uri="http://schemas.microsoft.com/office/2006/metadata/longProperties"/>
  </ds:schemaRefs>
</ds:datastoreItem>
</file>

<file path=customXml/itemProps5.xml><?xml version="1.0" encoding="utf-8"?>
<ds:datastoreItem xmlns:ds="http://schemas.openxmlformats.org/officeDocument/2006/customXml" ds:itemID="{5968C705-7A91-4773-ADCD-9ACAB3963DCE}">
  <ds:schemaRefs>
    <ds:schemaRef ds:uri="http://schemas.microsoft.com/sharepoint/v3/contenttype/forms"/>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2350</Words>
  <Characters>13399</Characters>
  <Application>Microsoft Office Word</Application>
  <DocSecurity>8</DocSecurity>
  <Lines>111</Lines>
  <Paragraphs>31</Paragraphs>
  <ScaleCrop>false</ScaleCrop>
  <HeadingPairs>
    <vt:vector size="2" baseType="variant">
      <vt:variant>
        <vt:lpstr>Título</vt:lpstr>
      </vt:variant>
      <vt:variant>
        <vt:i4>1</vt:i4>
      </vt:variant>
    </vt:vector>
  </HeadingPairs>
  <TitlesOfParts>
    <vt:vector size="1" baseType="lpstr">
      <vt:lpstr>Cartilla de Información Cuenta Ahorro Plus (Soles)</vt:lpstr>
    </vt:vector>
  </TitlesOfParts>
  <Company>Bank of Nova Scotia</Company>
  <LinksUpToDate>false</LinksUpToDate>
  <CharactersWithSpaces>15718</CharactersWithSpaces>
  <SharedDoc>false</SharedDoc>
  <HLinks>
    <vt:vector size="24" baseType="variant">
      <vt:variant>
        <vt:i4>8257588</vt:i4>
      </vt:variant>
      <vt:variant>
        <vt:i4>9</vt:i4>
      </vt:variant>
      <vt:variant>
        <vt:i4>0</vt:i4>
      </vt:variant>
      <vt:variant>
        <vt:i4>5</vt:i4>
      </vt:variant>
      <vt:variant>
        <vt:lpwstr>http://www.fsd.org.pe/</vt:lpwstr>
      </vt:variant>
      <vt:variant>
        <vt:lpwstr/>
      </vt:variant>
      <vt:variant>
        <vt:i4>6488121</vt:i4>
      </vt:variant>
      <vt:variant>
        <vt:i4>6</vt:i4>
      </vt:variant>
      <vt:variant>
        <vt:i4>0</vt:i4>
      </vt:variant>
      <vt:variant>
        <vt:i4>5</vt:i4>
      </vt:variant>
      <vt:variant>
        <vt:lpwstr>http://www.crediscotia.com.pe/</vt:lpwstr>
      </vt:variant>
      <vt:variant>
        <vt:lpwstr/>
      </vt:variant>
      <vt:variant>
        <vt:i4>8257588</vt:i4>
      </vt:variant>
      <vt:variant>
        <vt:i4>3</vt:i4>
      </vt:variant>
      <vt:variant>
        <vt:i4>0</vt:i4>
      </vt:variant>
      <vt:variant>
        <vt:i4>5</vt:i4>
      </vt:variant>
      <vt:variant>
        <vt:lpwstr>http://www.fsd.org.pe/</vt:lpwstr>
      </vt:variant>
      <vt:variant>
        <vt:lpwstr/>
      </vt:variant>
      <vt:variant>
        <vt:i4>6488121</vt:i4>
      </vt:variant>
      <vt:variant>
        <vt:i4>0</vt:i4>
      </vt:variant>
      <vt:variant>
        <vt:i4>0</vt:i4>
      </vt:variant>
      <vt:variant>
        <vt:i4>5</vt:i4>
      </vt:variant>
      <vt:variant>
        <vt:lpwstr>http://www.crediscotia.com.pe/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de Información Cuenta Ahorro Plus (Soles)</dc:title>
  <dc:subject/>
  <dc:creator>Irma Lucia Ojeda Perez Trevino</dc:creator>
  <cp:keywords/>
  <cp:lastModifiedBy>Ojeda Perez Trevino, Irma Lucia</cp:lastModifiedBy>
  <cp:revision>3</cp:revision>
  <dcterms:created xsi:type="dcterms:W3CDTF">2024-06-05T13:31:00Z</dcterms:created>
  <dcterms:modified xsi:type="dcterms:W3CDTF">2024-06-05T13:32:00Z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e">
    <vt:lpwstr>Comercial</vt:lpwstr>
  </property>
  <property fmtid="{D5CDD505-2E9C-101B-9397-08002B2CF9AE}" pid="3" name="Código">
    <vt:lpwstr/>
  </property>
  <property fmtid="{D5CDD505-2E9C-101B-9397-08002B2CF9AE}" pid="4" name="Resumen">
    <vt:lpwstr>Se actualiza la comisión por duplicado de Tarjeta de Débito, y lo que a Depósito respaldado por el Fondo de Seguro de Depósitos y Condiciones de Tratamiento de datos personales se refiere.</vt:lpwstr>
  </property>
  <property fmtid="{D5CDD505-2E9C-101B-9397-08002B2CF9AE}" pid="5" name="publicacion">
    <vt:lpwstr>2019-04-03T00:00:00Z</vt:lpwstr>
  </property>
  <property fmtid="{D5CDD505-2E9C-101B-9397-08002B2CF9AE}" pid="6" name="codigo">
    <vt:lpwstr>C.00408</vt:lpwstr>
  </property>
  <property fmtid="{D5CDD505-2E9C-101B-9397-08002B2CF9AE}" pid="7" name="Ir a ..........">
    <vt:lpwstr/>
  </property>
  <property fmtid="{D5CDD505-2E9C-101B-9397-08002B2CF9AE}" pid="8" name="Fecha de Publicación">
    <vt:lpwstr/>
  </property>
  <property fmtid="{D5CDD505-2E9C-101B-9397-08002B2CF9AE}" pid="9" name="ContentTypeId">
    <vt:lpwstr>0x01010033F0E2C9E57F9840AB2EBD2E21384587</vt:lpwstr>
  </property>
</Properties>
</file>