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C738" w14:textId="6334E190" w:rsidR="008266DE" w:rsidRDefault="008266DE" w:rsidP="008266DE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8266DE">
        <w:rPr>
          <w:b/>
          <w:bCs/>
          <w:sz w:val="22"/>
          <w:szCs w:val="22"/>
        </w:rPr>
        <w:t>TÉRMINOS Y CONDICIONES DEL SERVICIO CLICK TO PAY</w:t>
      </w:r>
    </w:p>
    <w:p w14:paraId="2E778809" w14:textId="70D2108A" w:rsidR="00B2459E" w:rsidRPr="00E856D9" w:rsidRDefault="005C3441" w:rsidP="00E856D9">
      <w:pPr>
        <w:spacing w:after="0" w:line="276" w:lineRule="auto"/>
        <w:jc w:val="right"/>
        <w:rPr>
          <w:b/>
          <w:bCs/>
          <w:sz w:val="16"/>
          <w:szCs w:val="16"/>
        </w:rPr>
      </w:pPr>
      <w:r w:rsidRPr="00E856D9">
        <w:rPr>
          <w:b/>
          <w:bCs/>
          <w:sz w:val="16"/>
          <w:szCs w:val="16"/>
        </w:rPr>
        <w:t xml:space="preserve">(Aplicable </w:t>
      </w:r>
      <w:r w:rsidR="00E856D9" w:rsidRPr="00E856D9">
        <w:rPr>
          <w:b/>
          <w:bCs/>
          <w:sz w:val="16"/>
          <w:szCs w:val="16"/>
        </w:rPr>
        <w:t xml:space="preserve">actualmente </w:t>
      </w:r>
      <w:r w:rsidR="00C579E7">
        <w:rPr>
          <w:b/>
          <w:bCs/>
          <w:sz w:val="16"/>
          <w:szCs w:val="16"/>
        </w:rPr>
        <w:t>para</w:t>
      </w:r>
      <w:r w:rsidR="00E856D9" w:rsidRPr="00E856D9">
        <w:rPr>
          <w:b/>
          <w:bCs/>
          <w:sz w:val="16"/>
          <w:szCs w:val="16"/>
        </w:rPr>
        <w:t xml:space="preserve"> Visa)</w:t>
      </w:r>
    </w:p>
    <w:p w14:paraId="77A2EE8D" w14:textId="77777777" w:rsidR="008266DE" w:rsidRPr="008266DE" w:rsidRDefault="008266DE" w:rsidP="008266DE">
      <w:pPr>
        <w:spacing w:after="0" w:line="276" w:lineRule="auto"/>
        <w:jc w:val="center"/>
        <w:rPr>
          <w:b/>
          <w:bCs/>
          <w:sz w:val="22"/>
          <w:szCs w:val="22"/>
        </w:rPr>
      </w:pPr>
    </w:p>
    <w:p w14:paraId="42B09A57" w14:textId="00A13CD0" w:rsidR="008266DE" w:rsidRPr="008266DE" w:rsidRDefault="008266DE" w:rsidP="008266DE">
      <w:pPr>
        <w:spacing w:after="0" w:line="276" w:lineRule="auto"/>
        <w:jc w:val="both"/>
        <w:rPr>
          <w:sz w:val="22"/>
          <w:szCs w:val="22"/>
        </w:rPr>
      </w:pPr>
      <w:r w:rsidRPr="008266DE">
        <w:rPr>
          <w:sz w:val="22"/>
          <w:szCs w:val="22"/>
        </w:rPr>
        <w:t xml:space="preserve">El presente documento </w:t>
      </w:r>
      <w:r w:rsidR="00D56F1F">
        <w:rPr>
          <w:sz w:val="22"/>
          <w:szCs w:val="22"/>
        </w:rPr>
        <w:t>presenta las condiciones de</w:t>
      </w:r>
      <w:r w:rsidRPr="008266DE">
        <w:rPr>
          <w:sz w:val="22"/>
          <w:szCs w:val="22"/>
        </w:rPr>
        <w:t xml:space="preserve"> uso de</w:t>
      </w:r>
      <w:r w:rsidR="00D56F1F">
        <w:rPr>
          <w:sz w:val="22"/>
          <w:szCs w:val="22"/>
        </w:rPr>
        <w:t>l servicio</w:t>
      </w:r>
      <w:r w:rsidRPr="008266DE">
        <w:rPr>
          <w:sz w:val="22"/>
          <w:szCs w:val="22"/>
        </w:rPr>
        <w:t xml:space="preserve"> Click to Pay</w:t>
      </w:r>
      <w:r w:rsidR="004A162B">
        <w:rPr>
          <w:color w:val="0070C0"/>
          <w:sz w:val="22"/>
          <w:szCs w:val="22"/>
        </w:rPr>
        <w:t xml:space="preserve"> </w:t>
      </w:r>
      <w:r w:rsidRPr="008266DE">
        <w:rPr>
          <w:sz w:val="22"/>
          <w:szCs w:val="22"/>
        </w:rPr>
        <w:t>(el “Servicio”), funcionalidad de pago digital</w:t>
      </w:r>
      <w:r w:rsidR="008B7CA9">
        <w:rPr>
          <w:sz w:val="22"/>
          <w:szCs w:val="22"/>
        </w:rPr>
        <w:t xml:space="preserve"> </w:t>
      </w:r>
      <w:r w:rsidR="00651CDD" w:rsidRPr="001B700B">
        <w:rPr>
          <w:color w:val="000000" w:themeColor="text1"/>
          <w:sz w:val="22"/>
          <w:szCs w:val="22"/>
        </w:rPr>
        <w:t xml:space="preserve">habilitada </w:t>
      </w:r>
      <w:r w:rsidR="008B7CA9" w:rsidRPr="001B700B">
        <w:rPr>
          <w:color w:val="000000" w:themeColor="text1"/>
          <w:sz w:val="22"/>
          <w:szCs w:val="22"/>
        </w:rPr>
        <w:t>por Visa, que</w:t>
      </w:r>
      <w:r w:rsidRPr="001B700B">
        <w:rPr>
          <w:color w:val="000000" w:themeColor="text1"/>
          <w:sz w:val="22"/>
          <w:szCs w:val="22"/>
        </w:rPr>
        <w:t xml:space="preserve"> Scotiabank Perú S.A.A. (el “Banco”) pone a disposición</w:t>
      </w:r>
      <w:r w:rsidR="008B7CA9" w:rsidRPr="001B700B">
        <w:rPr>
          <w:color w:val="000000" w:themeColor="text1"/>
          <w:sz w:val="22"/>
          <w:szCs w:val="22"/>
        </w:rPr>
        <w:t xml:space="preserve"> </w:t>
      </w:r>
      <w:r w:rsidR="00651CDD" w:rsidRPr="001B700B">
        <w:rPr>
          <w:color w:val="000000" w:themeColor="text1"/>
          <w:sz w:val="22"/>
          <w:szCs w:val="22"/>
        </w:rPr>
        <w:t>del</w:t>
      </w:r>
      <w:r w:rsidR="008B7CA9" w:rsidRPr="001B700B">
        <w:rPr>
          <w:color w:val="000000" w:themeColor="text1"/>
          <w:sz w:val="22"/>
          <w:szCs w:val="22"/>
        </w:rPr>
        <w:t xml:space="preserve"> </w:t>
      </w:r>
      <w:r w:rsidR="00D56F1F" w:rsidRPr="001B700B">
        <w:rPr>
          <w:color w:val="000000" w:themeColor="text1"/>
          <w:sz w:val="22"/>
          <w:szCs w:val="22"/>
        </w:rPr>
        <w:t>cliente</w:t>
      </w:r>
      <w:r w:rsidR="00651CDD" w:rsidRPr="001B700B">
        <w:rPr>
          <w:color w:val="000000" w:themeColor="text1"/>
          <w:sz w:val="22"/>
          <w:szCs w:val="22"/>
        </w:rPr>
        <w:t xml:space="preserve"> para el uso</w:t>
      </w:r>
      <w:r w:rsidR="008B7CA9" w:rsidRPr="001B700B">
        <w:rPr>
          <w:color w:val="000000" w:themeColor="text1"/>
          <w:sz w:val="22"/>
          <w:szCs w:val="22"/>
        </w:rPr>
        <w:t xml:space="preserve"> de</w:t>
      </w:r>
      <w:r w:rsidR="00651CDD" w:rsidRPr="001B700B">
        <w:rPr>
          <w:color w:val="000000" w:themeColor="text1"/>
          <w:sz w:val="22"/>
          <w:szCs w:val="22"/>
        </w:rPr>
        <w:t xml:space="preserve"> sus</w:t>
      </w:r>
      <w:r w:rsidR="008B7CA9" w:rsidRPr="001B700B">
        <w:rPr>
          <w:color w:val="000000" w:themeColor="text1"/>
          <w:sz w:val="22"/>
          <w:szCs w:val="22"/>
        </w:rPr>
        <w:t xml:space="preserve"> tarjetas de </w:t>
      </w:r>
      <w:r w:rsidR="00651CDD" w:rsidRPr="001B700B">
        <w:rPr>
          <w:color w:val="000000" w:themeColor="text1"/>
          <w:sz w:val="22"/>
          <w:szCs w:val="22"/>
        </w:rPr>
        <w:t>crédito</w:t>
      </w:r>
      <w:r w:rsidR="008B7CA9" w:rsidRPr="001B700B">
        <w:rPr>
          <w:color w:val="000000" w:themeColor="text1"/>
          <w:sz w:val="22"/>
          <w:szCs w:val="22"/>
        </w:rPr>
        <w:t xml:space="preserve"> Visa</w:t>
      </w:r>
      <w:r w:rsidRPr="001B700B">
        <w:rPr>
          <w:color w:val="000000" w:themeColor="text1"/>
          <w:sz w:val="22"/>
          <w:szCs w:val="22"/>
        </w:rPr>
        <w:t>.</w:t>
      </w:r>
    </w:p>
    <w:p w14:paraId="0C1DE422" w14:textId="4DDEB11E" w:rsidR="008266DE" w:rsidRPr="008266DE" w:rsidRDefault="008266DE" w:rsidP="008266DE">
      <w:pPr>
        <w:spacing w:after="0" w:line="276" w:lineRule="auto"/>
        <w:jc w:val="both"/>
        <w:rPr>
          <w:sz w:val="22"/>
          <w:szCs w:val="22"/>
        </w:rPr>
      </w:pPr>
      <w:r w:rsidRPr="008266DE">
        <w:rPr>
          <w:sz w:val="22"/>
          <w:szCs w:val="22"/>
        </w:rPr>
        <w:t>Click to Pay es un método de pago en línea que permite realizar compras de forma más simple y segura,</w:t>
      </w:r>
      <w:r w:rsidR="007A77F8">
        <w:rPr>
          <w:sz w:val="22"/>
          <w:szCs w:val="22"/>
        </w:rPr>
        <w:t xml:space="preserve"> </w:t>
      </w:r>
      <w:r w:rsidR="007A77F8" w:rsidRPr="001B700B">
        <w:rPr>
          <w:color w:val="000000" w:themeColor="text1"/>
          <w:sz w:val="22"/>
          <w:szCs w:val="22"/>
        </w:rPr>
        <w:t>ya que evita el ingreso manual de los datos</w:t>
      </w:r>
      <w:r w:rsidR="007A3D32" w:rsidRPr="001B700B">
        <w:rPr>
          <w:color w:val="000000" w:themeColor="text1"/>
          <w:sz w:val="22"/>
          <w:szCs w:val="22"/>
        </w:rPr>
        <w:t xml:space="preserve"> </w:t>
      </w:r>
      <w:r w:rsidR="007A77F8" w:rsidRPr="001B700B">
        <w:rPr>
          <w:color w:val="000000" w:themeColor="text1"/>
          <w:sz w:val="22"/>
          <w:szCs w:val="22"/>
        </w:rPr>
        <w:t xml:space="preserve">de la tarjeta en cada transacción, reduciendo el riesgo de exposición de la información del cliente en los comercios electrónicos que cuenten con esta </w:t>
      </w:r>
      <w:r w:rsidR="007A77F8" w:rsidRPr="00BE4723">
        <w:rPr>
          <w:sz w:val="22"/>
          <w:szCs w:val="22"/>
        </w:rPr>
        <w:t>opción</w:t>
      </w:r>
      <w:r w:rsidR="00BE4723">
        <w:rPr>
          <w:sz w:val="22"/>
          <w:szCs w:val="22"/>
        </w:rPr>
        <w:t xml:space="preserve">. </w:t>
      </w:r>
      <w:r w:rsidRPr="00BE4723">
        <w:rPr>
          <w:sz w:val="22"/>
          <w:szCs w:val="22"/>
        </w:rPr>
        <w:t>El</w:t>
      </w:r>
      <w:r w:rsidRPr="008266DE">
        <w:rPr>
          <w:sz w:val="22"/>
          <w:szCs w:val="22"/>
        </w:rPr>
        <w:t xml:space="preserve"> Servicio no tiene costo adicional ni modifica las condiciones del contrato de tarjeta de crédito, manteniéndose vigentes los cargos, comisiones y demás condiciones aplicables.</w:t>
      </w:r>
    </w:p>
    <w:p w14:paraId="5CC187C9" w14:textId="5A340B68" w:rsidR="00D95B92" w:rsidRDefault="00D95B92" w:rsidP="00D95B92">
      <w:pPr>
        <w:spacing w:after="0" w:line="276" w:lineRule="auto"/>
        <w:jc w:val="both"/>
        <w:rPr>
          <w:sz w:val="22"/>
          <w:szCs w:val="22"/>
        </w:rPr>
      </w:pPr>
      <w:r w:rsidRPr="00D95B92">
        <w:rPr>
          <w:sz w:val="22"/>
          <w:szCs w:val="22"/>
        </w:rPr>
        <w:t>El B</w:t>
      </w:r>
      <w:r w:rsidR="001A6C97" w:rsidRPr="00D95B92">
        <w:rPr>
          <w:sz w:val="22"/>
          <w:szCs w:val="22"/>
        </w:rPr>
        <w:t>anco</w:t>
      </w:r>
      <w:r w:rsidRPr="00D95B92">
        <w:rPr>
          <w:sz w:val="22"/>
          <w:szCs w:val="22"/>
        </w:rPr>
        <w:t xml:space="preserve"> no asumirá ninguna responsabilidad ni obligación por la calidad, cantidad o </w:t>
      </w:r>
      <w:r>
        <w:rPr>
          <w:sz w:val="22"/>
          <w:szCs w:val="22"/>
        </w:rPr>
        <w:t>características</w:t>
      </w:r>
      <w:r w:rsidRPr="00D95B92">
        <w:rPr>
          <w:sz w:val="22"/>
          <w:szCs w:val="22"/>
        </w:rPr>
        <w:t xml:space="preserve"> de las mercancías o servicios que se adquieran u </w:t>
      </w:r>
      <w:r>
        <w:rPr>
          <w:sz w:val="22"/>
          <w:szCs w:val="22"/>
        </w:rPr>
        <w:t>o</w:t>
      </w:r>
      <w:r w:rsidRPr="00D95B92">
        <w:rPr>
          <w:sz w:val="22"/>
          <w:szCs w:val="22"/>
        </w:rPr>
        <w:t>btengan mediante el uso de</w:t>
      </w:r>
      <w:r>
        <w:rPr>
          <w:sz w:val="22"/>
          <w:szCs w:val="22"/>
        </w:rPr>
        <w:t xml:space="preserve"> este</w:t>
      </w:r>
      <w:r w:rsidRPr="00D95B92">
        <w:rPr>
          <w:sz w:val="22"/>
          <w:szCs w:val="22"/>
        </w:rPr>
        <w:t xml:space="preserve"> </w:t>
      </w:r>
      <w:r w:rsidR="008F0B73">
        <w:rPr>
          <w:sz w:val="22"/>
          <w:szCs w:val="22"/>
        </w:rPr>
        <w:t>medio de pago</w:t>
      </w:r>
      <w:r w:rsidR="00DB1484">
        <w:rPr>
          <w:sz w:val="22"/>
          <w:szCs w:val="22"/>
        </w:rPr>
        <w:t xml:space="preserve"> en las plataformas de compra que tengan habilitada esta funcionalidad</w:t>
      </w:r>
      <w:r>
        <w:rPr>
          <w:sz w:val="22"/>
          <w:szCs w:val="22"/>
        </w:rPr>
        <w:t>.</w:t>
      </w:r>
    </w:p>
    <w:p w14:paraId="71C5AEBC" w14:textId="77777777" w:rsidR="008266DE" w:rsidRPr="008266DE" w:rsidRDefault="008266DE" w:rsidP="008266DE">
      <w:pPr>
        <w:spacing w:after="0" w:line="276" w:lineRule="auto"/>
        <w:rPr>
          <w:sz w:val="22"/>
          <w:szCs w:val="22"/>
        </w:rPr>
      </w:pPr>
    </w:p>
    <w:p w14:paraId="47CD5FF4" w14:textId="77777777" w:rsidR="008266DE" w:rsidRPr="008266DE" w:rsidRDefault="008266DE" w:rsidP="008266DE">
      <w:pPr>
        <w:spacing w:after="0" w:line="276" w:lineRule="auto"/>
        <w:rPr>
          <w:b/>
          <w:bCs/>
          <w:sz w:val="22"/>
          <w:szCs w:val="22"/>
        </w:rPr>
      </w:pPr>
      <w:r w:rsidRPr="008266DE">
        <w:rPr>
          <w:b/>
          <w:bCs/>
          <w:sz w:val="22"/>
          <w:szCs w:val="22"/>
        </w:rPr>
        <w:t>Habilitación del Servicio</w:t>
      </w:r>
    </w:p>
    <w:p w14:paraId="2CE6DEA5" w14:textId="2036FE35" w:rsidR="008266DE" w:rsidRPr="008266DE" w:rsidRDefault="008266DE" w:rsidP="00D95B92">
      <w:pPr>
        <w:spacing w:after="0" w:line="276" w:lineRule="auto"/>
        <w:jc w:val="both"/>
        <w:rPr>
          <w:sz w:val="22"/>
          <w:szCs w:val="22"/>
        </w:rPr>
      </w:pPr>
      <w:r w:rsidRPr="008266DE">
        <w:rPr>
          <w:sz w:val="22"/>
          <w:szCs w:val="22"/>
        </w:rPr>
        <w:t xml:space="preserve">Click to Pay </w:t>
      </w:r>
      <w:r>
        <w:rPr>
          <w:sz w:val="22"/>
          <w:szCs w:val="22"/>
        </w:rPr>
        <w:t xml:space="preserve">es </w:t>
      </w:r>
      <w:r w:rsidRPr="008266DE">
        <w:rPr>
          <w:sz w:val="22"/>
          <w:szCs w:val="22"/>
        </w:rPr>
        <w:t>una funcionalidad asociada a las tarjetas de crédito</w:t>
      </w:r>
      <w:r w:rsidRPr="001B700B">
        <w:rPr>
          <w:color w:val="0070C0"/>
          <w:sz w:val="22"/>
          <w:szCs w:val="22"/>
        </w:rPr>
        <w:t xml:space="preserve"> </w:t>
      </w:r>
      <w:r w:rsidRPr="008266DE">
        <w:rPr>
          <w:sz w:val="22"/>
          <w:szCs w:val="22"/>
        </w:rPr>
        <w:t xml:space="preserve">y puede utilizarse en comercios electrónicos que cuenten </w:t>
      </w:r>
      <w:r>
        <w:rPr>
          <w:sz w:val="22"/>
          <w:szCs w:val="22"/>
        </w:rPr>
        <w:t>esta opción disponible.</w:t>
      </w:r>
    </w:p>
    <w:p w14:paraId="1DE4EA0B" w14:textId="0E0062D8" w:rsidR="008F0B73" w:rsidRPr="008266DE" w:rsidRDefault="008266DE" w:rsidP="00D95B92">
      <w:pPr>
        <w:spacing w:after="0" w:line="276" w:lineRule="auto"/>
        <w:jc w:val="both"/>
        <w:rPr>
          <w:sz w:val="22"/>
          <w:szCs w:val="22"/>
        </w:rPr>
      </w:pPr>
      <w:r w:rsidRPr="008266DE">
        <w:rPr>
          <w:sz w:val="22"/>
          <w:szCs w:val="22"/>
        </w:rPr>
        <w:t>Para el uso del Servicio, podrán aplicarse mecanismos de seguridad y autenticación, definidos</w:t>
      </w:r>
      <w:r w:rsidR="00940379">
        <w:rPr>
          <w:color w:val="0070C0"/>
          <w:sz w:val="22"/>
          <w:szCs w:val="22"/>
        </w:rPr>
        <w:t xml:space="preserve"> </w:t>
      </w:r>
      <w:r w:rsidRPr="008266DE">
        <w:rPr>
          <w:sz w:val="22"/>
          <w:szCs w:val="22"/>
        </w:rPr>
        <w:t>por el Banco</w:t>
      </w:r>
      <w:r w:rsidR="007A3D32">
        <w:rPr>
          <w:sz w:val="22"/>
          <w:szCs w:val="22"/>
        </w:rPr>
        <w:t xml:space="preserve"> </w:t>
      </w:r>
      <w:r w:rsidR="007A3D32" w:rsidRPr="001B700B">
        <w:rPr>
          <w:color w:val="000000" w:themeColor="text1"/>
          <w:sz w:val="22"/>
          <w:szCs w:val="22"/>
        </w:rPr>
        <w:t>tanto para los titulares como adicionales de las tarjetas</w:t>
      </w:r>
      <w:r w:rsidR="007A3D32">
        <w:rPr>
          <w:sz w:val="22"/>
          <w:szCs w:val="22"/>
        </w:rPr>
        <w:t>;</w:t>
      </w:r>
      <w:r w:rsidRPr="008266DE">
        <w:rPr>
          <w:sz w:val="22"/>
          <w:szCs w:val="22"/>
        </w:rPr>
        <w:t xml:space="preserve"> con la finalidad de verificar la identidad y proteger las operaciones realizadas mediante Click to Pay.</w:t>
      </w:r>
      <w:r w:rsidR="008F0B73">
        <w:rPr>
          <w:sz w:val="22"/>
          <w:szCs w:val="22"/>
        </w:rPr>
        <w:t xml:space="preserve"> El cliente es responsable de</w:t>
      </w:r>
      <w:r w:rsidR="008F0B73" w:rsidRPr="008F0B73">
        <w:rPr>
          <w:sz w:val="22"/>
          <w:szCs w:val="22"/>
        </w:rPr>
        <w:t xml:space="preserve"> mantener la confidencialidad de su usuario, contraseñas y todas las demás credenciales necesarias para realizar </w:t>
      </w:r>
      <w:r w:rsidR="008F0B73">
        <w:rPr>
          <w:sz w:val="22"/>
          <w:szCs w:val="22"/>
        </w:rPr>
        <w:t>operaciones</w:t>
      </w:r>
      <w:r w:rsidR="008F0B73" w:rsidRPr="008F0B73">
        <w:rPr>
          <w:sz w:val="22"/>
          <w:szCs w:val="22"/>
        </w:rPr>
        <w:t xml:space="preserve"> con su tarjeta </w:t>
      </w:r>
      <w:r w:rsidR="003B3980">
        <w:rPr>
          <w:sz w:val="22"/>
          <w:szCs w:val="22"/>
        </w:rPr>
        <w:t xml:space="preserve">de crédito </w:t>
      </w:r>
      <w:r w:rsidR="008F0B73" w:rsidRPr="008F0B73">
        <w:rPr>
          <w:sz w:val="22"/>
          <w:szCs w:val="22"/>
        </w:rPr>
        <w:t>Scotiabank</w:t>
      </w:r>
      <w:r w:rsidR="008F0B73">
        <w:rPr>
          <w:sz w:val="22"/>
          <w:szCs w:val="22"/>
        </w:rPr>
        <w:t xml:space="preserve"> y Click to Pay</w:t>
      </w:r>
      <w:r w:rsidR="008F0B73" w:rsidRPr="008F0B73">
        <w:rPr>
          <w:sz w:val="22"/>
          <w:szCs w:val="22"/>
        </w:rPr>
        <w:t>.</w:t>
      </w:r>
      <w:r w:rsidR="008F0B73">
        <w:rPr>
          <w:sz w:val="22"/>
          <w:szCs w:val="22"/>
        </w:rPr>
        <w:t xml:space="preserve"> Ante sospecha de fraude deberá comunicarlo inmediatamente al Banco mediante los canales definidos para tal fin.</w:t>
      </w:r>
    </w:p>
    <w:p w14:paraId="3345BD68" w14:textId="77777777" w:rsidR="00D95B92" w:rsidRPr="008266DE" w:rsidRDefault="00D95B92" w:rsidP="008266DE">
      <w:pPr>
        <w:spacing w:after="0" w:line="276" w:lineRule="auto"/>
        <w:rPr>
          <w:sz w:val="22"/>
          <w:szCs w:val="22"/>
        </w:rPr>
      </w:pPr>
    </w:p>
    <w:p w14:paraId="1392EEDC" w14:textId="77777777" w:rsidR="008266DE" w:rsidRPr="008266DE" w:rsidRDefault="008266DE" w:rsidP="008266DE">
      <w:pPr>
        <w:spacing w:after="0" w:line="276" w:lineRule="auto"/>
        <w:rPr>
          <w:b/>
          <w:bCs/>
          <w:sz w:val="22"/>
          <w:szCs w:val="22"/>
        </w:rPr>
      </w:pPr>
      <w:r w:rsidRPr="008266DE">
        <w:rPr>
          <w:b/>
          <w:bCs/>
          <w:sz w:val="22"/>
          <w:szCs w:val="22"/>
        </w:rPr>
        <w:t>Beneficios del Servicio</w:t>
      </w:r>
    </w:p>
    <w:p w14:paraId="2B0E6467" w14:textId="5E625306" w:rsidR="008266DE" w:rsidRPr="008266DE" w:rsidRDefault="008266DE" w:rsidP="008266DE">
      <w:pPr>
        <w:spacing w:after="0" w:line="276" w:lineRule="auto"/>
        <w:rPr>
          <w:sz w:val="22"/>
          <w:szCs w:val="22"/>
        </w:rPr>
      </w:pPr>
      <w:r w:rsidRPr="008266DE">
        <w:rPr>
          <w:sz w:val="22"/>
          <w:szCs w:val="22"/>
        </w:rPr>
        <w:t>El uso de Click to Pay ofrece los siguientes beneficios principales:</w:t>
      </w:r>
    </w:p>
    <w:p w14:paraId="621513C9" w14:textId="77777777" w:rsidR="008266DE" w:rsidRDefault="008266DE" w:rsidP="008266DE">
      <w:pPr>
        <w:pStyle w:val="Prrafodelista"/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8266DE">
        <w:rPr>
          <w:sz w:val="22"/>
          <w:szCs w:val="22"/>
        </w:rPr>
        <w:t>Facilita una experiencia de pago en línea más rápida.</w:t>
      </w:r>
    </w:p>
    <w:p w14:paraId="594B3C5E" w14:textId="77777777" w:rsidR="008266DE" w:rsidRDefault="008266DE" w:rsidP="008266DE">
      <w:pPr>
        <w:pStyle w:val="Prrafodelista"/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8266DE">
        <w:rPr>
          <w:sz w:val="22"/>
          <w:szCs w:val="22"/>
        </w:rPr>
        <w:t>Reduce la exposición de la información de la tarjeta durante las compras.</w:t>
      </w:r>
    </w:p>
    <w:p w14:paraId="208F2AD0" w14:textId="18C85AAC" w:rsidR="008266DE" w:rsidRPr="008266DE" w:rsidRDefault="008266DE" w:rsidP="008266DE">
      <w:pPr>
        <w:pStyle w:val="Prrafodelista"/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8266DE">
        <w:rPr>
          <w:sz w:val="22"/>
          <w:szCs w:val="22"/>
        </w:rPr>
        <w:t>Utiliza tecnología de tokenización, que contribuye a proteger los datos de la tarjeta durante el proceso de pago.</w:t>
      </w:r>
    </w:p>
    <w:p w14:paraId="17179C13" w14:textId="77777777" w:rsidR="008266DE" w:rsidRPr="008266DE" w:rsidRDefault="008266DE" w:rsidP="008266DE">
      <w:pPr>
        <w:spacing w:after="0" w:line="276" w:lineRule="auto"/>
        <w:rPr>
          <w:sz w:val="22"/>
          <w:szCs w:val="22"/>
        </w:rPr>
      </w:pPr>
    </w:p>
    <w:p w14:paraId="7FCB324E" w14:textId="72449663" w:rsidR="008266DE" w:rsidRPr="008266DE" w:rsidRDefault="008266DE" w:rsidP="008266DE">
      <w:pPr>
        <w:spacing w:after="0" w:line="276" w:lineRule="auto"/>
        <w:rPr>
          <w:b/>
          <w:bCs/>
          <w:sz w:val="22"/>
          <w:szCs w:val="22"/>
        </w:rPr>
      </w:pPr>
      <w:r w:rsidRPr="008266DE">
        <w:rPr>
          <w:b/>
          <w:bCs/>
          <w:sz w:val="22"/>
          <w:szCs w:val="22"/>
        </w:rPr>
        <w:t xml:space="preserve">Desafiliación del Servicio </w:t>
      </w:r>
    </w:p>
    <w:p w14:paraId="719A2180" w14:textId="3C354F36" w:rsidR="0034592D" w:rsidRDefault="008266DE" w:rsidP="008266DE">
      <w:pPr>
        <w:spacing w:after="0" w:line="276" w:lineRule="auto"/>
        <w:rPr>
          <w:sz w:val="22"/>
          <w:szCs w:val="22"/>
        </w:rPr>
      </w:pPr>
      <w:r w:rsidRPr="008266DE">
        <w:rPr>
          <w:sz w:val="22"/>
          <w:szCs w:val="22"/>
        </w:rPr>
        <w:t xml:space="preserve">La desafiliación </w:t>
      </w:r>
      <w:r w:rsidR="00D56F1F">
        <w:rPr>
          <w:sz w:val="22"/>
          <w:szCs w:val="22"/>
        </w:rPr>
        <w:t>a</w:t>
      </w:r>
      <w:r w:rsidRPr="008266DE">
        <w:rPr>
          <w:sz w:val="22"/>
          <w:szCs w:val="22"/>
        </w:rPr>
        <w:t xml:space="preserve"> Click to Pay podrá solicitarse en cualquier momento comunicándose con </w:t>
      </w:r>
      <w:r w:rsidR="00D95B92">
        <w:rPr>
          <w:sz w:val="22"/>
          <w:szCs w:val="22"/>
        </w:rPr>
        <w:t>nuestra</w:t>
      </w:r>
      <w:r w:rsidRPr="008266DE">
        <w:rPr>
          <w:sz w:val="22"/>
          <w:szCs w:val="22"/>
        </w:rPr>
        <w:t xml:space="preserve"> </w:t>
      </w:r>
      <w:r w:rsidR="00D95B92">
        <w:rPr>
          <w:sz w:val="22"/>
          <w:szCs w:val="22"/>
        </w:rPr>
        <w:t>B</w:t>
      </w:r>
      <w:r w:rsidRPr="008266DE">
        <w:rPr>
          <w:sz w:val="22"/>
          <w:szCs w:val="22"/>
        </w:rPr>
        <w:t xml:space="preserve">anca </w:t>
      </w:r>
      <w:r w:rsidR="00D95B92">
        <w:rPr>
          <w:sz w:val="22"/>
          <w:szCs w:val="22"/>
        </w:rPr>
        <w:t>T</w:t>
      </w:r>
      <w:r w:rsidRPr="008266DE">
        <w:rPr>
          <w:sz w:val="22"/>
          <w:szCs w:val="22"/>
        </w:rPr>
        <w:t xml:space="preserve">elefónica </w:t>
      </w:r>
      <w:r w:rsidR="00D95B92">
        <w:rPr>
          <w:sz w:val="22"/>
          <w:szCs w:val="22"/>
        </w:rPr>
        <w:t>a los siguientes números</w:t>
      </w:r>
      <w:r w:rsidRPr="008266DE">
        <w:rPr>
          <w:sz w:val="22"/>
          <w:szCs w:val="22"/>
        </w:rPr>
        <w:t>:</w:t>
      </w:r>
      <w:r w:rsidR="00D95B92">
        <w:rPr>
          <w:sz w:val="22"/>
          <w:szCs w:val="22"/>
        </w:rPr>
        <w:t xml:space="preserve"> </w:t>
      </w:r>
      <w:r w:rsidRPr="008266DE">
        <w:rPr>
          <w:b/>
          <w:bCs/>
          <w:sz w:val="22"/>
          <w:szCs w:val="22"/>
        </w:rPr>
        <w:t>Lima</w:t>
      </w:r>
      <w:r w:rsidRPr="008266DE">
        <w:rPr>
          <w:sz w:val="22"/>
          <w:szCs w:val="22"/>
        </w:rPr>
        <w:t>: 311</w:t>
      </w:r>
      <w:r w:rsidRPr="008266DE">
        <w:rPr>
          <w:rFonts w:ascii="Cambria Math" w:hAnsi="Cambria Math" w:cs="Cambria Math"/>
          <w:sz w:val="22"/>
          <w:szCs w:val="22"/>
        </w:rPr>
        <w:t>‑</w:t>
      </w:r>
      <w:r w:rsidRPr="008266DE">
        <w:rPr>
          <w:sz w:val="22"/>
          <w:szCs w:val="22"/>
        </w:rPr>
        <w:t>6000</w:t>
      </w:r>
      <w:r w:rsidR="00D95B92">
        <w:rPr>
          <w:sz w:val="22"/>
          <w:szCs w:val="22"/>
        </w:rPr>
        <w:t xml:space="preserve"> / </w:t>
      </w:r>
      <w:r w:rsidRPr="008266DE">
        <w:rPr>
          <w:b/>
          <w:bCs/>
          <w:sz w:val="22"/>
          <w:szCs w:val="22"/>
        </w:rPr>
        <w:t>Provincias</w:t>
      </w:r>
      <w:r w:rsidRPr="008266DE">
        <w:rPr>
          <w:sz w:val="22"/>
          <w:szCs w:val="22"/>
        </w:rPr>
        <w:t>: 0801</w:t>
      </w:r>
      <w:r w:rsidRPr="008266DE">
        <w:rPr>
          <w:rFonts w:ascii="Cambria Math" w:hAnsi="Cambria Math" w:cs="Cambria Math"/>
          <w:sz w:val="22"/>
          <w:szCs w:val="22"/>
        </w:rPr>
        <w:t>‑</w:t>
      </w:r>
      <w:r w:rsidRPr="008266DE">
        <w:rPr>
          <w:sz w:val="22"/>
          <w:szCs w:val="22"/>
        </w:rPr>
        <w:t>16000</w:t>
      </w:r>
      <w:r w:rsidR="00D95B92">
        <w:rPr>
          <w:sz w:val="22"/>
          <w:szCs w:val="22"/>
        </w:rPr>
        <w:t>.</w:t>
      </w:r>
    </w:p>
    <w:p w14:paraId="77C58795" w14:textId="642C90AC" w:rsidR="008266DE" w:rsidRPr="008266DE" w:rsidRDefault="008266DE" w:rsidP="00D95B92">
      <w:pPr>
        <w:spacing w:after="0" w:line="276" w:lineRule="auto"/>
        <w:jc w:val="both"/>
        <w:rPr>
          <w:sz w:val="22"/>
          <w:szCs w:val="22"/>
        </w:rPr>
      </w:pPr>
      <w:r w:rsidRPr="008266DE">
        <w:rPr>
          <w:sz w:val="22"/>
          <w:szCs w:val="22"/>
        </w:rPr>
        <w:t>La solicitud de desafiliación será atendida dentro de un plazo máximo de quince (15) días hábiles.</w:t>
      </w:r>
    </w:p>
    <w:p w14:paraId="6FEF6493" w14:textId="77777777" w:rsidR="008266DE" w:rsidRPr="008266DE" w:rsidRDefault="008266DE" w:rsidP="008266DE">
      <w:pPr>
        <w:spacing w:after="0" w:line="276" w:lineRule="auto"/>
        <w:rPr>
          <w:sz w:val="22"/>
          <w:szCs w:val="22"/>
        </w:rPr>
      </w:pPr>
    </w:p>
    <w:p w14:paraId="4DF24893" w14:textId="5E3DBC15" w:rsidR="008266DE" w:rsidRPr="008266DE" w:rsidRDefault="008266DE" w:rsidP="008266DE">
      <w:pPr>
        <w:spacing w:after="0" w:line="276" w:lineRule="auto"/>
        <w:rPr>
          <w:b/>
          <w:bCs/>
          <w:sz w:val="22"/>
          <w:szCs w:val="22"/>
        </w:rPr>
      </w:pPr>
      <w:r w:rsidRPr="008266DE">
        <w:rPr>
          <w:b/>
          <w:bCs/>
          <w:sz w:val="22"/>
          <w:szCs w:val="22"/>
        </w:rPr>
        <w:t xml:space="preserve">Privacidad y </w:t>
      </w:r>
      <w:r w:rsidR="00D95B92">
        <w:rPr>
          <w:b/>
          <w:bCs/>
          <w:sz w:val="22"/>
          <w:szCs w:val="22"/>
        </w:rPr>
        <w:t>M</w:t>
      </w:r>
      <w:r w:rsidRPr="008266DE">
        <w:rPr>
          <w:b/>
          <w:bCs/>
          <w:sz w:val="22"/>
          <w:szCs w:val="22"/>
        </w:rPr>
        <w:t>odificaciones</w:t>
      </w:r>
      <w:r w:rsidR="00D95B92">
        <w:rPr>
          <w:b/>
          <w:bCs/>
          <w:sz w:val="22"/>
          <w:szCs w:val="22"/>
        </w:rPr>
        <w:t xml:space="preserve"> de Términos y Condiciones</w:t>
      </w:r>
    </w:p>
    <w:p w14:paraId="51F13D4B" w14:textId="77777777" w:rsidR="00F569A1" w:rsidRDefault="00F569A1" w:rsidP="00F569A1">
      <w:pPr>
        <w:spacing w:after="0" w:line="276" w:lineRule="auto"/>
        <w:jc w:val="both"/>
        <w:rPr>
          <w:sz w:val="22"/>
          <w:szCs w:val="22"/>
        </w:rPr>
      </w:pPr>
      <w:r w:rsidRPr="006D1010">
        <w:rPr>
          <w:sz w:val="22"/>
          <w:szCs w:val="22"/>
        </w:rPr>
        <w:t xml:space="preserve">Para la operación del Servicio, Scotiabank Perú S.A.A. podrá compartir con Visa la información estrictamente necesaria para la autenticación, autorización y procesamiento de las transacciones vinculadas al Servicio, la cual podrá incluir, según corresponda, el </w:t>
      </w:r>
      <w:r w:rsidRPr="006D1010">
        <w:rPr>
          <w:sz w:val="22"/>
          <w:szCs w:val="22"/>
        </w:rPr>
        <w:lastRenderedPageBreak/>
        <w:t>correo electrónico, el número celular y los datos de la tarjeta estrictamente necesarios para dichos fines. Dicha información será transferida y tratada aplicando medidas de seguridad técnicas, organizativas y legales adecuadas, incluyendo mecanismos de cifrado y protección de la información, conforme a la Política de Privacidad del Banco, la hoja de tratamiento de datos personales aplicable al producto o servicio y la normativa vigente sobre protección de datos personales.</w:t>
      </w:r>
    </w:p>
    <w:p w14:paraId="2EC94F5F" w14:textId="77777777" w:rsidR="00F569A1" w:rsidRPr="006D1010" w:rsidRDefault="00F569A1" w:rsidP="00F569A1">
      <w:pPr>
        <w:spacing w:after="0" w:line="276" w:lineRule="auto"/>
        <w:jc w:val="both"/>
        <w:rPr>
          <w:sz w:val="22"/>
          <w:szCs w:val="22"/>
        </w:rPr>
      </w:pPr>
    </w:p>
    <w:p w14:paraId="7BF6C347" w14:textId="77777777" w:rsidR="00F569A1" w:rsidRPr="006D1010" w:rsidRDefault="00F569A1" w:rsidP="00F569A1">
      <w:pPr>
        <w:spacing w:after="0" w:line="276" w:lineRule="auto"/>
        <w:jc w:val="both"/>
        <w:rPr>
          <w:sz w:val="22"/>
          <w:szCs w:val="22"/>
        </w:rPr>
      </w:pPr>
      <w:r w:rsidRPr="006D1010">
        <w:rPr>
          <w:sz w:val="22"/>
          <w:szCs w:val="22"/>
        </w:rPr>
        <w:t>El tratamiento y, de ser el caso, la transferencia nacional o internacional de los datos personales se realizará conforme a los documentos antes señalados, en los cuales se detalla la información relativa al responsable del tratamiento, finalidades, destinatarios, plazo de conservación y mecanismos para el ejercicio de los derechos del titular.</w:t>
      </w:r>
    </w:p>
    <w:p w14:paraId="44AE7DD8" w14:textId="77777777" w:rsidR="00F569A1" w:rsidRPr="006D1010" w:rsidRDefault="00F569A1" w:rsidP="00F569A1">
      <w:pPr>
        <w:spacing w:after="0" w:line="276" w:lineRule="auto"/>
        <w:jc w:val="both"/>
        <w:rPr>
          <w:sz w:val="22"/>
          <w:szCs w:val="22"/>
        </w:rPr>
      </w:pPr>
      <w:r w:rsidRPr="006D1010">
        <w:rPr>
          <w:sz w:val="22"/>
          <w:szCs w:val="22"/>
        </w:rPr>
        <w:t>En caso de que el Servicio implique una transferencia internacional de datos personales, el Banco adoptará las medidas y garantías necesarias para asegurar un nivel adecuado de protección, conforme a la normativa vigente.</w:t>
      </w:r>
    </w:p>
    <w:p w14:paraId="751E9577" w14:textId="77777777" w:rsidR="00F569A1" w:rsidRDefault="00F569A1" w:rsidP="00F569A1">
      <w:pPr>
        <w:spacing w:after="0" w:line="276" w:lineRule="auto"/>
        <w:jc w:val="both"/>
        <w:rPr>
          <w:sz w:val="22"/>
          <w:szCs w:val="22"/>
        </w:rPr>
      </w:pPr>
    </w:p>
    <w:p w14:paraId="3158F9CE" w14:textId="77777777" w:rsidR="00F569A1" w:rsidRPr="006D1010" w:rsidRDefault="00F569A1" w:rsidP="00F569A1">
      <w:pPr>
        <w:spacing w:after="0" w:line="276" w:lineRule="auto"/>
        <w:jc w:val="both"/>
        <w:rPr>
          <w:sz w:val="22"/>
          <w:szCs w:val="22"/>
        </w:rPr>
      </w:pPr>
      <w:r w:rsidRPr="006D1010">
        <w:rPr>
          <w:sz w:val="22"/>
          <w:szCs w:val="22"/>
        </w:rPr>
        <w:t>El Banco podrá modificar los presentes Términos y Condiciones conforme a la normativa aplicable. La versión vigente se encontrará disponible a través de nuestra página web (www.scotiabank.com.pe). Cuando una modificación implique cambios en el tratamiento de datos personales que amplíen o modifiquen las facultades de tratamiento inicialmente informadas al cliente, el Banco adoptará las medidas de información y, cuando corresponda, de obtención de consentimiento exigidas por la normativa aplicable.</w:t>
      </w:r>
    </w:p>
    <w:p w14:paraId="49C29591" w14:textId="6984FB8D" w:rsidR="003F1982" w:rsidRPr="008266DE" w:rsidRDefault="003F1982" w:rsidP="008266DE">
      <w:pPr>
        <w:spacing w:after="0" w:line="276" w:lineRule="auto"/>
        <w:jc w:val="both"/>
        <w:rPr>
          <w:sz w:val="22"/>
          <w:szCs w:val="22"/>
        </w:rPr>
      </w:pPr>
    </w:p>
    <w:sectPr w:rsidR="003F1982" w:rsidRPr="008266DE" w:rsidSect="00D95B92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otia">
    <w:panose1 w:val="020B0503020203020204"/>
    <w:charset w:val="00"/>
    <w:family w:val="swiss"/>
    <w:pitch w:val="variable"/>
    <w:sig w:usb0="A000006F" w:usb1="0200005B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A53"/>
    <w:multiLevelType w:val="hybridMultilevel"/>
    <w:tmpl w:val="DB525F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97A"/>
    <w:multiLevelType w:val="multilevel"/>
    <w:tmpl w:val="2982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F50E3"/>
    <w:multiLevelType w:val="hybridMultilevel"/>
    <w:tmpl w:val="9D485F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D2A9B"/>
    <w:multiLevelType w:val="hybridMultilevel"/>
    <w:tmpl w:val="DB3AFC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3343">
    <w:abstractNumId w:val="1"/>
  </w:num>
  <w:num w:numId="2" w16cid:durableId="2084643975">
    <w:abstractNumId w:val="0"/>
  </w:num>
  <w:num w:numId="3" w16cid:durableId="2006589759">
    <w:abstractNumId w:val="2"/>
  </w:num>
  <w:num w:numId="4" w16cid:durableId="1010333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DE"/>
    <w:rsid w:val="00024D9F"/>
    <w:rsid w:val="0005439D"/>
    <w:rsid w:val="0006466D"/>
    <w:rsid w:val="0008512D"/>
    <w:rsid w:val="000A7D38"/>
    <w:rsid w:val="000D2041"/>
    <w:rsid w:val="000D52C6"/>
    <w:rsid w:val="000E7088"/>
    <w:rsid w:val="00135B60"/>
    <w:rsid w:val="00150085"/>
    <w:rsid w:val="00175E4E"/>
    <w:rsid w:val="00184BEF"/>
    <w:rsid w:val="001A6C97"/>
    <w:rsid w:val="001B700B"/>
    <w:rsid w:val="001F7DAE"/>
    <w:rsid w:val="002005C6"/>
    <w:rsid w:val="0020558B"/>
    <w:rsid w:val="00214377"/>
    <w:rsid w:val="00243C48"/>
    <w:rsid w:val="00257FBB"/>
    <w:rsid w:val="00270AFD"/>
    <w:rsid w:val="00272427"/>
    <w:rsid w:val="002B2B7B"/>
    <w:rsid w:val="002F2172"/>
    <w:rsid w:val="002F6E99"/>
    <w:rsid w:val="002F7509"/>
    <w:rsid w:val="0032492C"/>
    <w:rsid w:val="0033750A"/>
    <w:rsid w:val="0034592D"/>
    <w:rsid w:val="00371FFC"/>
    <w:rsid w:val="00380746"/>
    <w:rsid w:val="00385C4D"/>
    <w:rsid w:val="0039422E"/>
    <w:rsid w:val="003954D2"/>
    <w:rsid w:val="003A6C41"/>
    <w:rsid w:val="003B3980"/>
    <w:rsid w:val="003E0D74"/>
    <w:rsid w:val="003E7E8A"/>
    <w:rsid w:val="003F1982"/>
    <w:rsid w:val="003F71A9"/>
    <w:rsid w:val="0044304C"/>
    <w:rsid w:val="00491A72"/>
    <w:rsid w:val="004957D7"/>
    <w:rsid w:val="004A162B"/>
    <w:rsid w:val="004C4605"/>
    <w:rsid w:val="005839B2"/>
    <w:rsid w:val="005B4B14"/>
    <w:rsid w:val="005C3441"/>
    <w:rsid w:val="00604322"/>
    <w:rsid w:val="00613997"/>
    <w:rsid w:val="00651CDD"/>
    <w:rsid w:val="00660C28"/>
    <w:rsid w:val="00693C7E"/>
    <w:rsid w:val="006D525A"/>
    <w:rsid w:val="006E6075"/>
    <w:rsid w:val="007A317F"/>
    <w:rsid w:val="007A3D32"/>
    <w:rsid w:val="007A77F8"/>
    <w:rsid w:val="007C115A"/>
    <w:rsid w:val="007C29CC"/>
    <w:rsid w:val="007D6118"/>
    <w:rsid w:val="008266DE"/>
    <w:rsid w:val="00861F9F"/>
    <w:rsid w:val="008841ED"/>
    <w:rsid w:val="008A3C05"/>
    <w:rsid w:val="008B5165"/>
    <w:rsid w:val="008B7CA9"/>
    <w:rsid w:val="008E6925"/>
    <w:rsid w:val="008F0B73"/>
    <w:rsid w:val="00927BF7"/>
    <w:rsid w:val="00940379"/>
    <w:rsid w:val="0096326B"/>
    <w:rsid w:val="00971FB9"/>
    <w:rsid w:val="00990A96"/>
    <w:rsid w:val="00A103FF"/>
    <w:rsid w:val="00AB6BBE"/>
    <w:rsid w:val="00AC59FC"/>
    <w:rsid w:val="00B2459E"/>
    <w:rsid w:val="00B259BD"/>
    <w:rsid w:val="00B63BEF"/>
    <w:rsid w:val="00B87ABC"/>
    <w:rsid w:val="00BD6ABB"/>
    <w:rsid w:val="00BE1511"/>
    <w:rsid w:val="00BE4723"/>
    <w:rsid w:val="00C10AB7"/>
    <w:rsid w:val="00C556C3"/>
    <w:rsid w:val="00C579E7"/>
    <w:rsid w:val="00C87168"/>
    <w:rsid w:val="00CA5386"/>
    <w:rsid w:val="00CB4F9A"/>
    <w:rsid w:val="00CB50B1"/>
    <w:rsid w:val="00CF32A7"/>
    <w:rsid w:val="00D250F8"/>
    <w:rsid w:val="00D448C7"/>
    <w:rsid w:val="00D556BD"/>
    <w:rsid w:val="00D56F1F"/>
    <w:rsid w:val="00D80B41"/>
    <w:rsid w:val="00D95B92"/>
    <w:rsid w:val="00DB1484"/>
    <w:rsid w:val="00E5304D"/>
    <w:rsid w:val="00E76FEB"/>
    <w:rsid w:val="00E856D9"/>
    <w:rsid w:val="00EA03B7"/>
    <w:rsid w:val="00F042D5"/>
    <w:rsid w:val="00F111D4"/>
    <w:rsid w:val="00F20F07"/>
    <w:rsid w:val="00F27A46"/>
    <w:rsid w:val="00F33D7A"/>
    <w:rsid w:val="00F569A1"/>
    <w:rsid w:val="00F66783"/>
    <w:rsid w:val="00FB5636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0822A"/>
  <w15:chartTrackingRefBased/>
  <w15:docId w15:val="{1330F65C-D6FE-42AD-AA5C-BEA60282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6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6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6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6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6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6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6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6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6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6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6D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4BEF"/>
    <w:pPr>
      <w:autoSpaceDE w:val="0"/>
      <w:autoSpaceDN w:val="0"/>
      <w:adjustRightInd w:val="0"/>
      <w:spacing w:after="0" w:line="240" w:lineRule="auto"/>
    </w:pPr>
    <w:rPr>
      <w:rFonts w:ascii="Scotia" w:hAnsi="Scotia" w:cs="Scotia"/>
      <w:color w:val="000000"/>
      <w:kern w:val="0"/>
      <w:lang w:val="es-CR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95B9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5B9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20F0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20F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0F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0F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0F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0F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f33436-4701-4dad-b7d3-3462e99c6889}" enabled="0" method="" siteId="{8ff33436-4701-4dad-b7d3-3462e99c68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Encinas  Torres, Yesenia</dc:creator>
  <cp:keywords/>
  <dc:description/>
  <cp:lastModifiedBy>Encinas  Torres, Yesenia</cp:lastModifiedBy>
  <cp:revision>20</cp:revision>
  <dcterms:created xsi:type="dcterms:W3CDTF">2026-04-18T01:50:00Z</dcterms:created>
  <dcterms:modified xsi:type="dcterms:W3CDTF">2026-05-08T16:34:00Z</dcterms:modified>
</cp:coreProperties>
</file>